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17. janvāra noteikumos Nr. 57 "Noteikumi par zāļu marķēšanas kārtību un zāļu lietošanas instrukcijai izvirzāmajām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un 12.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2006. gada 17. janvāra noteikumos Nr. 57 „Noteikumi par zāļu marķēšanas kārtību un zāļu lietošanas instrukcijai izvirzāmajām prasībām” (turpmāk - Noteikumu projekts) mērķis ir mazināt komersantiem slogu saistībā par ārzemju zāļu iepakojumu izplatīšanu Latvijā problēmu gadījumā ar zāļu pieejamību, veicināt elektronisku zāļu lietošanas instrukciju (saīsināti - PILs) apriti, kā arī pilnveidot regulējumu par zāļu marķējumā un lietošanas instrukcijā norādāmām palīgvielām.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regulējums Ministru kabineta 2006. gada 17. janvāra noteikumos Nr. 57 „Noteikumi par zāļu marķēšanas kārtību un zāļu lietošanas instrukcijai izvirzāmajām prasībām” (turpmāk Noteikumi Nr. 57) paredz iespējas Latvijas Republikā izplatīt zāles iepakojumos, kas paredzēti citai valstij, iesniedzot Zāļu valsts aģentūrā paziņojumu (Noteikumu  Nr. 57 6.</w:t>
      </w:r>
      <w:r w:rsidR="00000000" w:rsidRPr="00000000" w:rsidDel="00000000">
        <w:rPr>
          <w:vertAlign w:val="superscript"/>
          <w:rtl w:val="0"/>
        </w:rPr>
        <w:t xml:space="preserve">1  </w:t>
      </w:r>
      <w:r w:rsidR="00000000" w:rsidRPr="00000000" w:rsidDel="00000000">
        <w:rPr>
          <w:rtl w:val="0"/>
        </w:rPr>
        <w:t xml:space="preserve">punkts) vai saņemot aģentūras atļauju (Noteikumu  Nr. 57 7.6.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regulējums Noteikumos Nr. 57 nosaka iespēju stacionārām ārstniecības iestādēm izplatīt konkrētas zāles bez papīra formāta zāļu lietošanas instrukcijas zāļu iepakojumā, kas notiek Pilotprojekta starp Baltijas valstu zāļu aģentūrā ietvarā. Zāļu valsts aģentūra sadarbībā ar Igaunijas un Lietuvas zāļu aģentūrām ir iesaistījusies Baltijas zāļu aģentūru (Igaunijas, Latvijas, Lietuvas) iniciatīvā, ko ierosināja Igaunijas Zāļu aģentūra, aicinot zāļu reģistrācijas apliecības īpašniekus piedalīties pilotprojekta īstenošanā, lai zālēm, kuras lietojamas tikai slimnīcās, piemērotu elektroniskas lietošanas instrukcijas. Minētajā Pilotprojektā ir iekļautas Zāļu valsts aģentūras saskaņotas zāles, kuras piegādā stacionārām ārstniecības iestādēm, minētās zāles ir iekļautas Latvijas zāļu reģistrā ar nacionālo vai Baltijas marķējumu. Zāļu valsts aģentūra slimnīcas informē par šo zāļu sarakstu un iespējām (vietu), kur atrast e-produktu informāciju - zāļu lietošanas instrukciju elektroniskā formātā. Visas pārējās Noteikumu Nr. 57 noteiktās prasības attiecībā uz marķēšanu un lietošanas instrukcijām saglabājas pilnībā, un tiek ievēroti galvenie principi attiecībā uz e-produktu informāciju, par ko vienojusies Eiropas zāļu aģentūra (EMA), Eiropas zāļu aģentūru vadītāju vadības grupa (HMA), Eiropas Komisija un pacientu organizācijas. Sākotnējais plānotais pilotprojekta īstenošanas laiks ir divi gadi. Pilotprojekta gaitā, noskaidrojot slimnīcu pārstāvju, zāļu reģistrācijas apliecību īpašnieku un Baltijas valstu zāļu aģentūru pieredzi, tiek vērtēts, vai e-produktu informācijas izmantošana nodrošina nepieciešamās informācijas pieejamību, zāļu lietošanas drošumu un vai e-produktu informācijas lietošana varētu uzlabot slimnīcās lietojamo zāļu pieejamību. Pilotprojekts tiek analizēts pēc vienotiem principiem visās trijās Baltijas valstīs. Pašreiz  Pilotprojekts ir spēkā līdz 2023. gada 31. decembrim, bet Baltijas valstu aģentūras ir vērsušas Eiropas Zāļu aģentūra un Eiropas Komisijā, ar iniciatīvu Pilotprojekta pagarināšanai vēl uz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Pašreizējais regulējums Noteikumu Nr. 57 pielikumā nosaka palīgvielas un brīdinošo informāciju par tām, kas iekļaujama zāļu lietošanas instrukcijā. Palīgvielas un zāļu lietošanas instrukcijās iekļaujama informācija ir noteikta pielikumā Eiropas Komisijas norādījumos (</w:t>
      </w:r>
      <w:r w:rsidR="00000000" w:rsidRPr="00000000" w:rsidDel="00000000">
        <w:rPr>
          <w:i w:val="1"/>
          <w:rtl w:val="0"/>
        </w:rPr>
        <w:t xml:space="preserve">guidance</w:t>
      </w:r>
      <w:r w:rsidR="00000000" w:rsidRPr="00000000" w:rsidDel="00000000">
        <w:rPr>
          <w:rtl w:val="0"/>
        </w:rPr>
        <w:t xml:space="preserve"> - vadlīnijas) “Palīgvielas cilvēkiem paredzēto zāļu marķējumā un lietošanas instrukcijā”, kas ir iekļauti  Farmācijas likuma 51.</w:t>
      </w:r>
      <w:r w:rsidR="00000000" w:rsidRPr="00000000" w:rsidDel="00000000">
        <w:rPr>
          <w:vertAlign w:val="superscript"/>
          <w:rtl w:val="0"/>
        </w:rPr>
        <w:t xml:space="preserve">1</w:t>
      </w:r>
      <w:r w:rsidR="00000000" w:rsidRPr="00000000" w:rsidDel="00000000">
        <w:rPr>
          <w:rtl w:val="0"/>
        </w:rPr>
        <w:t xml:space="preserve"> pantā minētajā Eiropas Komisijas rokasgrāmatā, ko Eiropas Komisija publicējusi Eiropas Savienības Zāļu tiesiskā regulējuma dokumentu krājuma 2. c sējumā  (pieejams tiešsaitē: </w:t>
      </w:r>
      <w:r w:rsidR="00000000" w:rsidRPr="00000000" w:rsidDel="00000000">
        <w:rPr>
          <w:i w:val="1"/>
          <w:rtl w:val="0"/>
        </w:rPr>
        <w:t xml:space="preserve">chrome-extension://efaidnbmnnnibpcajpcglclefindmkaj/https://www.ema.europa.eu/en/documents/scientific-guideline/annex-european-commission-guideline-excipients-labelling-package-leaflet-medicinal-products-human_en-1.pdf</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zāļu izplatīšanas operativitāti var mazināt arī administratīvās procedūra, kas izriet no Noteikumu Nr. 57 7.6. apakšpunkta normas, kad komersantiem prasa Zāļu valsts aģentūrai atbrīvojumu - atļauju zāļu izplatīšanai ārzemju iepakojumos zālēm, kuras Latvijas zāļu reģistrā ir vienīgās zāles ar tādu aktīvo vielu, stiprumu un zāļu formu (zāles, kurām reģistrā nav iekļauti analogi), attiecīgo zāļu nepieejamības gadījumā, arī kad Latvijai paredzētie iepakojumi nav pieejami vai ir nepietiekošā daudzumā, tajā skaitā saistībā ar zāļu  ražošanas vai piegādes traucējumiem. Līdz ar to paplašināms būtu gadījumu loks, kad zāles ārzemju iepakojumos būtu atļauts izplatīt uz Noteikumos Nr. 57  6.</w:t>
      </w:r>
      <w:r w:rsidR="00000000" w:rsidRPr="00000000" w:rsidDel="00000000">
        <w:rPr>
          <w:vertAlign w:val="superscript"/>
          <w:rtl w:val="0"/>
        </w:rPr>
        <w:t xml:space="preserve">1 </w:t>
      </w:r>
      <w:r w:rsidR="00000000" w:rsidRPr="00000000" w:rsidDel="00000000">
        <w:rPr>
          <w:rtl w:val="0"/>
        </w:rPr>
        <w:t xml:space="preserve">punktā minētā paziņojuma pamata, neattiecinot uz šādiem gadījumiem prasību pēc atsevišķas Zāļu valsts aģentūras atļaujas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mazināts administratīvais slogs un paplašinot izņēmumu loks, kad zāļu reģistrācijas apliecības īpašniekiem un zāļu vairumtirgotājiem nav jāgriežas Zāļu valsts aģentūrā atļaujas saņemšanai, lai izplatītu zāles ārzemju iepakojumos, kas paredzēti citai Eiropas Savienības vai Eiropas Ekonomikas zonas dalībvalstij (informācija marķējumā un lietošanas instrukcijā ir tikai svešvalodā), līdz ar ko paziņošanas procedūra tiek piemērota arī uz zālēm, kuras Latvijas zāļu reģistrā ir vienīgās zāles ar tādu aktīvo vielu, stiprumu un zāļu formu. Vienlaicīgi tiek konkretizēta procedūra attiecībā uz paziņojumā ietveramo informāciju un lai novērstu administratīvo slogu paziņojuma izskatīšanā, paredzot Zāļu valsts aģentūras informācijas publiskošanu tīmekļvietnē. Nodrošinot publisku pieejamību vismaz paziņošanas procedūras ietvaros saņemtajiem datiem, tiek nodrošināta ne tikai procedūras pabeigšana un reģistrācijas apliecības īpašnieka informētība, ka viņš ir tiesīgs uzsākt zāļu izplatīšanu, bet šī informācija ir pieejama arī Veselības inspekcijai (veicot pārbaudes), zāļu vairumtirgotājiem, ārstniecības iestādēm un aptiekām (izplatot un saņemot konkrētās zāles)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3., 4. un 5. punkts - papildina Noteikumu Nr. 57 ar 6.3.3., 6.</w:t>
      </w:r>
      <w:r w:rsidR="00000000" w:rsidRPr="00000000" w:rsidDel="00000000">
        <w:rPr>
          <w:u w:val="single"/>
          <w:vertAlign w:val="superscript"/>
          <w:rtl w:val="0"/>
        </w:rPr>
        <w:t xml:space="preserve">1 </w:t>
      </w:r>
      <w:r w:rsidR="00000000" w:rsidRPr="00000000" w:rsidDel="00000000">
        <w:rPr>
          <w:u w:val="single"/>
          <w:rtl w:val="0"/>
        </w:rPr>
        <w:t xml:space="preserve">6.apakšpunktu, 6.</w:t>
      </w:r>
      <w:r w:rsidR="00000000" w:rsidRPr="00000000" w:rsidDel="00000000">
        <w:rPr>
          <w:u w:val="single"/>
          <w:vertAlign w:val="superscript"/>
          <w:rtl w:val="0"/>
        </w:rPr>
        <w:t xml:space="preserve">5</w:t>
      </w:r>
      <w:r w:rsidR="00000000" w:rsidRPr="00000000" w:rsidDel="00000000">
        <w:rPr>
          <w:u w:val="single"/>
          <w:rtl w:val="0"/>
        </w:rPr>
        <w:t xml:space="preserve">, 6.</w:t>
      </w:r>
      <w:r w:rsidR="00000000" w:rsidRPr="00000000" w:rsidDel="00000000">
        <w:rPr>
          <w:u w:val="single"/>
          <w:vertAlign w:val="superscript"/>
          <w:rtl w:val="0"/>
        </w:rPr>
        <w:t xml:space="preserve">6</w:t>
      </w:r>
      <w:r w:rsidR="00000000" w:rsidRPr="00000000" w:rsidDel="00000000">
        <w:rPr>
          <w:u w:val="single"/>
          <w:rtl w:val="0"/>
        </w:rPr>
        <w:t xml:space="preserve"> un 6.</w:t>
      </w:r>
      <w:r w:rsidR="00000000" w:rsidRPr="00000000" w:rsidDel="00000000">
        <w:rPr>
          <w:u w:val="single"/>
          <w:vertAlign w:val="superscript"/>
          <w:rtl w:val="0"/>
        </w:rPr>
        <w:t xml:space="preserve">7 </w:t>
      </w:r>
      <w:r w:rsidR="00000000" w:rsidRPr="00000000" w:rsidDel="00000000">
        <w:rPr>
          <w:u w:val="single"/>
          <w:rtl w:val="0"/>
        </w:rPr>
        <w:t xml:space="preserve">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Noteikumos Nr. 57 43. punkta normu, kas atļauj gadījumus, kad zālēm var nebūt pievienotas papīra formāta zāļu lietošanas instrukcijas Pilotprojekta ietvarā, ko īstenotu Zāļu valsts aģentūra sadarbībā ar Igaunijas un Lietuvas zāļu aģentūrām, kuras ir iesaistījušās Baltijas zāļu aģentūru (Igaunijas, Latvijas, Lietuvas) iniciatīvā, aicinot zāļu  reģistrācijas apliecības īpašniekus piedalīties pilotprojekta īstenošanā, lai zālēm, kuras lietojamas tikai slimnīcās, piemērotu elektroniskas lietošanas instrukcijas, ir spēkā tikai līdz 2023. gada 31. decembrim. Tāpēc regulējumā būtu jāparedz iespēja turpināt atļaut lietot slimnīcās elektroniskas zāļu lietošanas instrukcijas.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57  43. un 45. punktā precizētas pārejas noteikumu normas, lai varētu turpināt Pilotprojekta īstenošanu, turpinot izplatīt zāles stacionārām ārstniecības iestādēm bez papīra formāta zāļu lietošanas instrukcijas zāļu iepakojumā (</w:t>
      </w:r>
      <w:r w:rsidR="00000000" w:rsidRPr="00000000" w:rsidDel="00000000">
        <w:rPr>
          <w:u w:val="single"/>
          <w:rtl w:val="0"/>
        </w:rPr>
        <w:t xml:space="preserve">Noteikumu projekta 7. un 8. punkts - precizē Noteikumu Nr. 57 43. un 45.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 pielikumā ietvertā brīdinošā informācija par palīgvielām zāļu lietošanas instrukcijā ir novecojusi un aktualizējama, ņemot vērā aktuālāko pielikuma redakciju Eiropas Komisijas norādījumos (</w:t>
      </w:r>
      <w:r w:rsidR="00000000" w:rsidRPr="00000000" w:rsidDel="00000000">
        <w:rPr>
          <w:i w:val="1"/>
          <w:rtl w:val="0"/>
        </w:rPr>
        <w:t xml:space="preserve">guidance</w:t>
      </w:r>
      <w:r w:rsidR="00000000" w:rsidRPr="00000000" w:rsidDel="00000000">
        <w:rPr>
          <w:rtl w:val="0"/>
        </w:rPr>
        <w:t xml:space="preserve"> - vadlīnijas) “Palīgvielas cilvēkiem paredzēto zāļu marķējumā un lietošanas instrukcijā” (pieejams tiešsaitē: </w:t>
      </w:r>
      <w:r w:rsidR="00000000" w:rsidRPr="00000000" w:rsidDel="00000000">
        <w:rPr>
          <w:i w:val="1"/>
          <w:rtl w:val="0"/>
        </w:rPr>
        <w:t xml:space="preserve">chrome-extension://efaidnbmnnnibpcajpcglclefindmkaj/https://www.ema.europa.eu/en/documents/scientific-guideline/annex-european-commission-guideline-excipients-labelling-package-leaflet-medicinal-products-human_en-1.pdf</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57 pielikums par palīgvielām atbilstoši Eiropas Komisijas norādījumiem (</w:t>
      </w:r>
      <w:r w:rsidR="00000000" w:rsidRPr="00000000" w:rsidDel="00000000">
        <w:rPr>
          <w:i w:val="1"/>
          <w:rtl w:val="0"/>
        </w:rPr>
        <w:t xml:space="preserve">guidance</w:t>
      </w:r>
      <w:r w:rsidR="00000000" w:rsidRPr="00000000" w:rsidDel="00000000">
        <w:rPr>
          <w:rtl w:val="0"/>
        </w:rPr>
        <w:t xml:space="preserve"> - vadlīnijas) “Palīgvielas cilvēkiem paredzēto zāļu marķējumā un lietošanas instrukcijā” (pieejams tiešsaitē: </w:t>
      </w:r>
      <w:r w:rsidR="00000000" w:rsidRPr="00000000" w:rsidDel="00000000">
        <w:rPr>
          <w:i w:val="1"/>
          <w:rtl w:val="0"/>
        </w:rPr>
        <w:t xml:space="preserve">chrome-extension://efaidnbmnnnibpcajpcglclefindmkaj/https://www.ema.europa.eu/en/documents/scientific-guideline/annex-european-commission-guideline-excipients-labelling-package-leaflet-medicinal-products-human_en-1.pdf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9.punkts - precizē Noteikumu Nr. 57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Eiropas Parlamenta un Padomes 2014. gada 16. aprīļa Regulas Nr. 536/2014 par cilvēkiem paredzētu zāļu klīniskajām pārbaudēm un ar ko atceļ Direktīvu 2001/20/EK (turpmāk — regula Nr. 536/2014) īstenošanu un grozījumiem Farmācijas likumā Noteikumu  Nr. 57 lietotā terminoloģija ir novecojusi (Noteikumu Nr. 57 2.3. apakšpunkts un 12.</w:t>
      </w:r>
      <w:r w:rsidR="00000000" w:rsidRPr="00000000" w:rsidDel="00000000">
        <w:rPr>
          <w:vertAlign w:val="superscript"/>
          <w:rtl w:val="0"/>
        </w:rPr>
        <w:t xml:space="preserve">2 </w:t>
      </w:r>
      <w:r w:rsidR="00000000" w:rsidRPr="00000000" w:rsidDel="00000000">
        <w:rPr>
          <w:rtl w:val="0"/>
        </w:rPr>
        <w:t xml:space="preserve">1. apakšpunkts), kā arī nav skaidrs regulējums, kas jāpiemēro pētāmo zāļu un papildzāļu marķēšanā.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 lai saskaņotu to ar regulā Nr. 536/2014 lietoto terminoloģiju un Farmācijas likumu zāļu klīnisko pētījumu jomā. Ietverts arī vispārīgs princips par pētāmo zāļu un papildzāļu marķēšanu, kas izriet no regulas Nr. 536/2014.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1., 2. un 6. punkts  - precizē Noteikumu Nr. 57 2.3. apakšpunktu, papildina ar 2.</w:t>
      </w:r>
      <w:r w:rsidR="00000000" w:rsidRPr="00000000" w:rsidDel="00000000">
        <w:rPr>
          <w:u w:val="single"/>
          <w:vertAlign w:val="superscript"/>
          <w:rtl w:val="0"/>
        </w:rPr>
        <w:t xml:space="preserve">1</w:t>
      </w:r>
      <w:r w:rsidR="00000000" w:rsidRPr="00000000" w:rsidDel="00000000">
        <w:rPr>
          <w:u w:val="single"/>
          <w:rtl w:val="0"/>
        </w:rPr>
        <w:t xml:space="preserve"> punktu un precizē 12.</w:t>
      </w:r>
      <w:r w:rsidR="00000000" w:rsidRPr="00000000" w:rsidDel="00000000">
        <w:rPr>
          <w:u w:val="single"/>
          <w:vertAlign w:val="superscript"/>
          <w:rtl w:val="0"/>
        </w:rPr>
        <w:t xml:space="preserve">2 </w:t>
      </w:r>
      <w:r w:rsidR="00000000" w:rsidRPr="00000000" w:rsidDel="00000000">
        <w:rPr>
          <w:u w:val="single"/>
          <w:rtl w:val="0"/>
        </w:rPr>
        <w:t xml:space="preserve">1</w:t>
      </w:r>
      <w:r w:rsidR="00000000" w:rsidRPr="00000000" w:rsidDel="00000000">
        <w:rPr>
          <w:u w:val="single"/>
          <w:vertAlign w:val="superscript"/>
          <w:rtl w:val="0"/>
        </w:rPr>
        <w:t xml:space="preserve"> </w:t>
      </w:r>
      <w:r w:rsidR="00000000" w:rsidRPr="00000000" w:rsidDel="00000000">
        <w:rPr>
          <w:u w:val="single"/>
          <w:rtl w:val="0"/>
        </w:rPr>
        <w:t xml:space="preserve">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reģistrācijas apliecības īpašnieki un zāļu vairumtirgotāji
stacionārās ārstniecības iestādes un aptiekas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zāļu reģistrācijas īpašniekiem un zāļu vairumtirgotājiem samazinās, jo samazinās gadījumu skaits, kad būtu jāprasa atļauja Zāļu valsts aģentūrai, lai Latvijā izplatītu ārzemju zāļu iepakojumus.</w:t>
      </w:r>
      <w:r w:rsidR="00000000" w:rsidRPr="00000000" w:rsidDel="00000000">
        <w:rPr>
          <w:rtl w:val="0"/>
        </w:rPr>
        <w:t xml:space="preserve">Zāļu ražotājiem un zāļu vairumtirgotājiem samazinās slogs, jo paplašinās izņēmumu loks, kad zāļu lietošanas instrukcijas tulkojumu un marķējuma teksta tulkojumu valsts valodā atļauts pievienot zāļu sūtījumiem bez pārpakošanas. Savukārt pacienti saņem zāles aptiekā kopā ar zāļu lietošanas instrukciju valsts valodā.</w:t>
      </w:r>
      <w:r w:rsidR="00000000" w:rsidRPr="00000000" w:rsidDel="00000000">
        <w:rPr>
          <w:rtl w:val="0"/>
        </w:rPr>
        <w:t xml:space="preserve">Uzlabosies zāļu pieejamība, tiks nodrošināta savlaicīga zāļu pieejamība saistībā ar ārzemju zāļu iepakojumu izplatīšanu, kad Latvijai paredzētie zāļu iepakojumi nav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Regulas Nr. 536/2014 par cilvēkiem paredzētu zāļu klīniskajām pārbaudēm un ar ko atceļ Direktīvu 2001/20/EK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16. aprīļa Regulas Nr. 536/2014 par cilvēkiem paredzētu zāļu klīniskajām pārbaudēm un ar ko atceļ Direktīvu 2001/20/EK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 nodaļas un VI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57 2.</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 zāļu pieejamība, nodrošinot savlaicīgu zāļu pieejamību saistībā ar ārzemju zāļu iepakojumu izplatīšanu, kad Latvijai paredzētie zāļu iepakojumi nav pieejami.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23-TA-1776</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23-TA-1776</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anotācija_(ex_ante)_23-TA-1776.docx</dc:title>
</cp:coreProperties>
</file>

<file path=docProps/custom.xml><?xml version="1.0" encoding="utf-8"?>
<Properties xmlns="http://schemas.openxmlformats.org/officeDocument/2006/custom-properties" xmlns:vt="http://schemas.openxmlformats.org/officeDocument/2006/docPropsVTypes"/>
</file>