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kompetenču sadalījumu Latvijas interešu pārstāvēšanai Ekonomiskās sadarbības un attīstības organizācijā"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pamatojoties uz likuma “Par 1960. gada 14. decembra Konvenciju par Ekonomiskās sadarbības un attīstības organizāciju un Līgumu par Latvijas Republikas pievienošanās Konvencijai par Ekonomiskās sadarbības un attīstības organizāciju nosacījumiem” 2. pantu.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noteikt atbildīgo un līdzatbildīgo institūciju kompetenču sadalījumu par Latvijas interešu pārstāvēšanu Ekonomiskās sadarbības un attīstības organizācijas (turpmāk - OECD) komitejās un dalības iemaksu veikšanu OECD programmās.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atbildīgās un līdzatbildīgās institūcijas, kas pārstāv Latvijas intereses OECD komitejās un darba grupās nosaka Ministru kabineta 2016. gada 25. augusta rīkojums Nr. 482 “Par kompetenču sadalījumu Latvijas interešu pārstāvēšanā Ekonomiskās sadarbības un attīstības organizācijas komitejās un darba grupās”. Rīkojums tika pieņemts neilgi pēc tam, kad Latvija 2016. gada 1. jūlijā bija kļuvusi par OECD dalībvalsti.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25. augusta rīkojumu Nr. 482 (prot. Nr. 41 4. §) ir nepieciešams aktualizēt, ņemot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izmaiņas Latvijas pārvaldes institucionālajā 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izmaiņas OECD institucionālajā 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dalībvalsts statusā iegūto izpratni par OECD komitejās un darba grupās izskatāmajiem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rīkojumā tiek noteikta institucionālā atbildība par OECD programmām, kurās Latvija veic dalības maksājumus, kā arī atsevišķiem citiem dalības formātiem – OECD Padomi un Kukuļošanas apkarošanas starptautiskajos biznesa darījumos darba grupu.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Sekmīga OECD labākās prakses pārņemšana ir atkarīga no politikas veidotāju un nozares ekspertu iesaistes attiecīgajās OECD komitejās, iegūtās informācijas analīzes, tās piemērošanas Latvijas vajadzībām, OECD rekomendāciju ieviešanas nacionālajā rīcībpolitikā.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komiteju un darba grupu datu bāzē ir pieejama aktuālā informācija par OECD komitejām un darba grupām, tai skaitā, informācija par mandātu un vadītājiem (skatīt:  https://oecdgroups.oecd.org - </w:t>
      </w:r>
      <w:r w:rsidR="00000000" w:rsidRPr="00000000" w:rsidDel="00000000">
        <w:rPr>
          <w:i w:val="1"/>
          <w:rtl w:val="0"/>
        </w:rPr>
        <w:t xml:space="preserve">"On-Line Guide to OECD Intergovernmental Activity"</w:t>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minētās institūcijas pārstāvību OECD komitejās un iemaksas OECD programmās nodrošinās esošo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uzraudzības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administrācijas 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Atbildīgās institūcijas, kā arī līdzatbildīgās institūcijas, kur attiecināms, apmeklē OECD komitejas vai komitejas darba grupas sanāksmes, iepazīstas ar komitejas vai darba grupas dokumentiem un sniedz informāciju par Latviju OECD aptaujās un ziņojumos, pārsūta OECD dokumentus, anketas un ielūgumus uz sanāksmēm citām Latvijas institūcijām, kuru kompetencē tie ir, kā arī popularizē komitejas vai darba grupas darba rezultātus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Atbildīgās institūcijas sniedz informāciju citām rīkojumā minētajām institūcijām par komiteju ietvaros jaunizveidotajām struktūrvienībām un tajā izskatāmo jautājumu saturu. Informācija par jaunu OECD komiteju vai darba grupu izveidi, to kompetenci un atbildīgo institūciju noteikšanu var tikt sniegta un apspriesta klātienē starpinstitūciju darba grupas Latvijas dalības Ekonomiskās sadarbības un attīstības organizācijā (OECD) koordinēšanai sanāksmē.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komitejām ir apakšstruktūra, kuru veido šīs komitejas izveidotas darba grupas, tīkli, forumi un citi formāti. OECD Padome apstiprina katras OECD komitejas mandātu, kas ietver arī atsevišķu mandātu katrai tās formālajai darba grupai vai citai apakšvienībai, un šie mandāti un apakšstruktūra tiek regulāri pārskatīti.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23-TA-1839</w:t>
    </w:r>
    <w:r>
      <w:br/>
    </w:r>
    <w:r w:rsidR="00000000" w:rsidRPr="00000000" w:rsidDel="00000000">
      <w:rPr>
        <w:rtl w:val="0"/>
      </w:rPr>
      <w:t xml:space="preserve">Izdrukāts 29.07.2026. 22.34 - 4.0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23-TA-1839</w:t>
    </w:r>
    <w:r>
      <w:br/>
    </w:r>
    <w:r w:rsidR="00000000" w:rsidRPr="00000000" w:rsidDel="00000000">
      <w:rPr>
        <w:rtl w:val="0"/>
      </w:rPr>
      <w:t xml:space="preserve">Izdrukāts 29.07.2026. 22.34 - 4.0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anotācija_(ex_ante)_23-TA-1839.docx</dc:title>
</cp:coreProperties>
</file>

<file path=docProps/custom.xml><?xml version="1.0" encoding="utf-8"?>
<Properties xmlns="http://schemas.openxmlformats.org/officeDocument/2006/custom-properties" xmlns:vt="http://schemas.openxmlformats.org/officeDocument/2006/docPropsVTypes"/>
</file>