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Krimināllikuma spēkā stāšanās un piemērošanas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Krimināllikuma spēkā stāšanās un piemērošanas kārtību"" (turpmāk – likumprojekts) ir saistīts ar likumprojektu "Grozījumi Krimināllikumā" un likumprojektu "Grozījumi Starptautisko un Latvijas Republikas nacionālo sankciju likumā" un ir izstrādāts, lai ieviestu Eiropas Parlamenta un Padomes 2024. gada 24. aprīļa direktīvu (ES) 2024/1226 par noziedzīgu nodarījumu un sodu noteikšanu attiecībā uz Savienības ierobežojošo pasākumu pārkāpumiem un ar ko groza Direktīvu (ES) 2018/1673.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19. maijā stājās spēkā Eiropas Parlamenta un Padomes Direktīva (ES) 2024/1226 (2024. gada 24. aprīlis) par noziedzīgu nodarījumu un sodu noteikšanu attiecībā uz Savienības ierobežojošo pasākumu pārkāpumiem un ar ko groza Direktīvu (ES) 2018/1673 (turpmāk - Direktīva). Direktīva nodrošina harmonizāciju ES ierobežojošo pasākumu pārkāpumu jomā, paredzot minimālos noteikumus attiecībā uz noziedzīgu nodarījumu un sodu noteikšanu par Savienības ierobežojošo pasākumu pārkāpumiem, t.i. noziedzīgu nodarījumu definīciju tuvināšana, efektīvu, atturošu un samērīgu soda veidu un apmēru nodrošināšana, kā arī nacionālās un pārrobežu izmeklēšanas un kriminālvajāšanas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Krimināllikumā" Krimināllikums (turpmāk - KL) tiek papildināts ar jaunu 84.</w:t>
      </w:r>
      <w:r w:rsidR="00000000" w:rsidRPr="00000000" w:rsidDel="00000000">
        <w:rPr>
          <w:vertAlign w:val="superscript"/>
          <w:rtl w:val="0"/>
        </w:rPr>
        <w:t xml:space="preserve">1</w:t>
      </w:r>
      <w:r w:rsidR="00000000" w:rsidRPr="00000000" w:rsidDel="00000000">
        <w:rPr>
          <w:rtl w:val="0"/>
        </w:rPr>
        <w:t xml:space="preserve"> pantu, kura pirmā daļa noteic kriminālatbildību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Attiecīgais KL pants ietver divus noziedzīgā nodarījuma sastāvus: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noteikto sankciju pārkāpšana,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šīs darbības izdarītas ievērojamā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jebkuru citu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saistīto likumprojektu tiek paredzēts noteikt, ka par KL 84.</w:t>
      </w:r>
      <w:r w:rsidR="00000000" w:rsidRPr="00000000" w:rsidDel="00000000">
        <w:rPr>
          <w:vertAlign w:val="superscript"/>
          <w:rtl w:val="0"/>
        </w:rPr>
        <w:t xml:space="preserve">1</w:t>
      </w:r>
      <w:r w:rsidR="00000000" w:rsidRPr="00000000" w:rsidDel="00000000">
        <w:rPr>
          <w:rtl w:val="0"/>
        </w:rPr>
        <w:t xml:space="preserve"> panta pirmajā daļā paredzētajām darbībām, kas ietver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turpmāk personu būs iespējams saukt pie kriminālatbildības tikai tad, ja minētās darbības ir izdarītas ievērojamā apmērā. Savukārt, par darbībām, kas nesasniedz pantā minēto ievērojama apmēra slieksni tiek paredzēts piemērot administratīvo atbildību Starptautisko un Latvijas Republikas nacionālo sankciju likumā (turpmāk - SL)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Direktīvas 3. panta 1. punkta a) – i) apakšpunktā ir uzskaitīti iespējamie Eiropas Savienības ierobežojošo pasākumu veidi, kas dalībvalstīs ir atzīstami par noziedzīgiem nodarījumiem. Vienlaikus Direktīvas 3. panta 2. punktā noteikts, ka dalībvalstis var paredzēt, ka šāda rīcība nav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šā panta 1. punkta a), b) un h) apakšpunktā uzskaitītā rīcība ietver līdzekļus vai saimnieciskos resursus, kuru vērtība ir mazāka nekā 10 000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šā panta 1. punkta d)–g) un i) apakšpunktā uzskaitītā rīcība ietver preces, pakalpojumus, darījumus vai darbības, kuru vērtība ir mazāka nekā 10 000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ievērojot pastāvošo ģeopolitiski sarežģīto situāciju sankciju pārkāpumu jomā, kā arī būtisko izmeklēšanas resursu trūkumu un pastāvošos riskus izdarīt savlaicīgu izmeklēšanu visos uzsāktajos kriminālprocesos, tika secināts, ka par Direktīvas 3. panta 1. punkta e) apakšpunktā paredzēto noziedzīgo nodarījumu, kas ietver aizliegumu tirgot, importēt, eksportēt, pārdot, pirkt, nodot, pārvest tranzītā vai transportēt preces, kā arī sniegt starpniecības pakalpojumus, tehniskās palīdzības vai citus ar minētajām precēm saistītus pakalpojumus, turpmāk nebūtu lietderīgi personu saukt pie kriminālatbildības, ja minētā rīcība ietver preces, pakalpojumus, darījumus vai darbības, kuru vērtība ir mazāka nekā 10 000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Direktīvas 3. panta 2. punktā tiek pieļauta administratīvās atbildības noteikšana par tādu Eiropas Savienības noteikto sankciju pārkāpšanu, kas nepārsniedz 10 000 EUR apmēru. Tomēr Latvijas normatīvajā regulējumā šāds administratīvās atbildības un kriminālatbildības nošķiršanas institūts nepastāv. Proti, saskaņā ar likuma “Par Krimināllikuma spēkā stāšanās un piemērošanas kārtību” (turpmāk – PKLS) 23.</w:t>
      </w:r>
      <w:r w:rsidR="00000000" w:rsidRPr="00000000" w:rsidDel="00000000">
        <w:rPr>
          <w:vertAlign w:val="superscript"/>
          <w:rtl w:val="0"/>
        </w:rPr>
        <w:t xml:space="preserve">1</w:t>
      </w:r>
      <w:r w:rsidR="00000000" w:rsidRPr="00000000" w:rsidDel="00000000">
        <w:rPr>
          <w:rtl w:val="0"/>
        </w:rPr>
        <w:t xml:space="preserve"> panta pirmo daļu atbildība par KL paredzēto noziedzīgo nodarījumu, kas izdarīts ievērojamā apmērā, iestājas, ja noziedzīga nodarījuma priekšmeta kopējā vērtība nodarījuma izdarīšanas brīdī nav bijusi mazāka par desmit tai laikā Latvijas Republikā noteikto minimālo mēnešalgu kopsummu. Šobrīd atbilstoši minētajai tiesību normai desmit minimālo mēnešalgu kopsumma veido 7 000 EUR. Lai arī šobrīd pastāvošais ievērojama apmēra slieksnis atbilst Direktīvas 3. panta 2. punkta prasībām, pastāv risks, ka tuvākajā nākotnē, pieaugot minimālās mēnešalgas apmēram, PKLS 23.</w:t>
      </w:r>
      <w:r w:rsidR="00000000" w:rsidRPr="00000000" w:rsidDel="00000000">
        <w:rPr>
          <w:vertAlign w:val="superscript"/>
          <w:rtl w:val="0"/>
        </w:rPr>
        <w:t xml:space="preserve">1</w:t>
      </w:r>
      <w:r w:rsidR="00000000" w:rsidRPr="00000000" w:rsidDel="00000000">
        <w:rPr>
          <w:rtl w:val="0"/>
        </w:rPr>
        <w:t xml:space="preserve"> panta pirmajā daļā ietvertais ievērojama apmēra slieksnis pārsniegs 10 000 EUR un būs neatbalstošs Direktīvā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likumprojektu  PKLS 23.</w:t>
      </w:r>
      <w:r w:rsidR="00000000" w:rsidRPr="00000000" w:rsidDel="00000000">
        <w:rPr>
          <w:vertAlign w:val="superscript"/>
          <w:rtl w:val="0"/>
        </w:rPr>
        <w:t xml:space="preserve">1</w:t>
      </w:r>
      <w:r w:rsidR="00000000" w:rsidRPr="00000000" w:rsidDel="00000000">
        <w:rPr>
          <w:rtl w:val="0"/>
        </w:rPr>
        <w:t xml:space="preserve"> pantā tiek paredzēts noteikt konkrētu ievējojama apmēra kritēriju attiecībā uz KL 84.</w:t>
      </w:r>
      <w:r w:rsidR="00000000" w:rsidRPr="00000000" w:rsidDel="00000000">
        <w:rPr>
          <w:vertAlign w:val="superscript"/>
          <w:rtl w:val="0"/>
        </w:rPr>
        <w:t xml:space="preserve">1</w:t>
      </w:r>
      <w:r w:rsidR="00000000" w:rsidRPr="00000000" w:rsidDel="00000000">
        <w:rPr>
          <w:rtl w:val="0"/>
        </w:rPr>
        <w:t xml:space="preserve"> pantā paredzētajām precēm vai pakalpojumiem, līdzīgi kā tas ir īpaši atrunāts attiecībā uz alkoholiskajiem dzērieniem un tabakas izstrādājumiem PKLS 23.</w:t>
      </w:r>
      <w:r w:rsidR="00000000" w:rsidRPr="00000000" w:rsidDel="00000000">
        <w:rPr>
          <w:vertAlign w:val="superscript"/>
          <w:rtl w:val="0"/>
        </w:rPr>
        <w:t xml:space="preserve">1</w:t>
      </w:r>
      <w:r w:rsidR="00000000" w:rsidRPr="00000000" w:rsidDel="00000000">
        <w:rPr>
          <w:rtl w:val="0"/>
        </w:rPr>
        <w:t xml:space="preserve"> panta otrajā un trešajā daļā. Proti, tiek noteikts, ka atbildība par Krimināllikuma 84.</w:t>
      </w:r>
      <w:r w:rsidR="00000000" w:rsidRPr="00000000" w:rsidDel="00000000">
        <w:rPr>
          <w:vertAlign w:val="superscript"/>
          <w:rtl w:val="0"/>
        </w:rPr>
        <w:t xml:space="preserve">1</w:t>
      </w:r>
      <w:r w:rsidR="00000000" w:rsidRPr="00000000" w:rsidDel="00000000">
        <w:rPr>
          <w:rtl w:val="0"/>
        </w:rPr>
        <w:t xml:space="preserve"> pantā paredzēto noziedzīgo nodarījumu, kas izdarīts ievērojamā apmērā, iestājas, ja preču vai pakalpojumu vērtība nav mazāka par 10 000 EUR vai ja pakalpojums veikts attiecībā uz precēm, kuru vērtība nav mazāka par 10 000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personu turpmāk būs iespējams saukt pie kriminālatbildības, ja KL 84.</w:t>
      </w:r>
      <w:r w:rsidR="00000000" w:rsidRPr="00000000" w:rsidDel="00000000">
        <w:rPr>
          <w:vertAlign w:val="superscript"/>
          <w:rtl w:val="0"/>
        </w:rPr>
        <w:t xml:space="preserve">1</w:t>
      </w:r>
      <w:r w:rsidR="00000000" w:rsidRPr="00000000" w:rsidDel="00000000">
        <w:rPr>
          <w:rtl w:val="0"/>
        </w:rPr>
        <w:t xml:space="preserve"> pantā paredzēto preču vai pakalpojumu vērtība nebūs mazāka par 10 000 EUR vai ja pakalpojums veikts attiecībā uz precēm, kuru vērtība nebūs mazāka par 10 000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tādām KL 84.</w:t>
      </w:r>
      <w:r w:rsidR="00000000" w:rsidRPr="00000000" w:rsidDel="00000000">
        <w:rPr>
          <w:vertAlign w:val="superscript"/>
          <w:rtl w:val="0"/>
        </w:rPr>
        <w:t xml:space="preserve">1</w:t>
      </w:r>
      <w:r w:rsidR="00000000" w:rsidRPr="00000000" w:rsidDel="00000000">
        <w:rPr>
          <w:rtl w:val="0"/>
        </w:rPr>
        <w:t xml:space="preserve"> pantā ietvertajām pretlikumīgām darbībām, kas nesasniedz PKLS 23.</w:t>
      </w:r>
      <w:r w:rsidR="00000000" w:rsidRPr="00000000" w:rsidDel="00000000">
        <w:rPr>
          <w:vertAlign w:val="superscript"/>
          <w:rtl w:val="0"/>
        </w:rPr>
        <w:t xml:space="preserve">1</w:t>
      </w:r>
      <w:r w:rsidR="00000000" w:rsidRPr="00000000" w:rsidDel="00000000">
        <w:rPr>
          <w:rtl w:val="0"/>
        </w:rPr>
        <w:t xml:space="preserve"> panta ceturtajā daļā noteikto ievērojama apmēra slieksni, persona turpmāk tiks saukta pie administratīvās atbildības atbilstoši SL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likumprojekts paredz PKLS 23.</w:t>
      </w:r>
      <w:r w:rsidR="00000000" w:rsidRPr="00000000" w:rsidDel="00000000">
        <w:rPr>
          <w:b w:val="1"/>
          <w:vertAlign w:val="superscript"/>
          <w:rtl w:val="0"/>
        </w:rPr>
        <w:t xml:space="preserve">1</w:t>
      </w:r>
      <w:r w:rsidR="00000000" w:rsidRPr="00000000" w:rsidDel="00000000">
        <w:rPr>
          <w:b w:val="1"/>
          <w:rtl w:val="0"/>
        </w:rPr>
        <w:t xml:space="preserve"> pantu papildināt ar jaunu ceturto daļu, nosakot ka atbildība par Krimināllikuma 84.</w:t>
      </w:r>
      <w:r w:rsidR="00000000" w:rsidRPr="00000000" w:rsidDel="00000000">
        <w:rPr>
          <w:b w:val="1"/>
          <w:vertAlign w:val="superscript"/>
          <w:rtl w:val="0"/>
        </w:rPr>
        <w:t xml:space="preserve">1</w:t>
      </w:r>
      <w:r w:rsidR="00000000" w:rsidRPr="00000000" w:rsidDel="00000000">
        <w:rPr>
          <w:b w:val="1"/>
          <w:rtl w:val="0"/>
        </w:rPr>
        <w:t xml:space="preserve"> pantā paredzēto noziedzīgo nodarījumu, kas izdarīts ievērojamā apmērā, iestājas, ja preču vai pakalpojumu vērtība nav mazāka par 10 000 EUR vai ja pakalpojums veikts attiecībā uz precēm, kuru vērtība nav mazāka par 10 000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20. panta 1. punkts noteic, ka dalībvalstīm ir pienākums savos normatīvajos aktos, ar kuriem tiek pārņemtas Direktīvas prasības, ietvert atsauci uz attiecīgo Eiropas Savienības tiesību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likumprojekts paredz papildināt PKLS ar informatīvo atsauci uz šo Direktīvu, likuma informatīvās atsauces papildinot ar 3. punktu šādā redakcijā:</w:t>
      </w:r>
      <w:r w:rsidR="00000000" w:rsidRPr="00000000" w:rsidDel="00000000">
        <w:rPr>
          <w:b w:val="1"/>
          <w:rtl w:val="0"/>
        </w:rPr>
        <w:t xml:space="preserve">"3) Eiropas Parlamenta un Padomes 2024. gada 24. aprīļa direktīvas (ES) 2024/1226 par noziedzīgu nodarījumu un sodu noteikšanu attiecībā uz Savienības ierobežojošo pasākumu pārkāpumiem un ar ko groza Direktīvu (ES) 2018/1673.".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Noziedzīgus nodarījumus izdarījušās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Krimināllikumā"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pārņemtu Direktīvas prasības, papildus nepieciešami grozījumi arī Krimināllikumā.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Starptautisko un Latvijas Republikas nacionālo sankciju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pārņemtu Direktīvas prasības, papildus nepieciešami grozījumi arī Starptautisko un Latvijas Republikas nacionālo sankciju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24. aprīļa direktīva (ES) par noziedzīgu nodarījumu un sodu noteikšanu attiecībā uz Savienības ierobežojošo pasākumu pārkāpumiem un ar ko groza Direktīvu (ES) 2018/1673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24. aprīļa direktīva (ES) par noziedzīgu nodarījumu un sodu noteikšanu attiecībā uz Savienības ierobežojošo pasākumu pārkāpumiem un ar ko groza Direktīvu (ES) 2018/1673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 11., 12. un 70.</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Regulas (ES) Nr. 269/2014 (2014. gada 17. marts) par ierobežojošiem pasākumiem attiecībā uz darbībām, ar ko tiek grauta vai apdraudēta Ukrainas teritoriālā integritāte, suverenitāte un neatkarība, 1.panta g)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Regulas (ES) Nr. 269/2014 (2014. gada 17. marts) par ierobežojošiem pasākumiem attiecībā uz darbībām, ar ko tiek grauta vai apdraudēta Ukrainas teritoriālā integritāte, suverenitāte un neatkarība, 1.panta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Regulas (ES) Nr. 269/2014 (2014. gada 17. marts) par ierobežojošiem pasākumiem attiecībā uz darbībām, ar ko tiek grauta vai apdraudēta Ukrainas teritoriālā integritāte, suverenitāte un neatkarība, 1.panta f)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Regulas (ES) Nr. 269/2014 (2014. gada 17. marts) par ierobežojošiem pasākumiem attiecībā uz darbībām, ar ko tiek grauta vai apdraudēta Ukrainas teritoriālā integritāte, suverenitāte un neatkarība, 1.panta 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Starptautisko un Latvijas Republikas nacionālo sankciju likums (turpmāk - SL)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SL 11.panta pirmā daļa; Padomes Regula (ES) Nr. 269/2014 (2014. gada 17. marts) par ierobežojošiem pasākumiem attiecībā uz darbībām, ar ko tiek grauta vai apdraudēta Ukrainas teritoriālā integritāte, suverenitāte un neatkarība; Padomes Regula (ES) Nr. 833/2014 (2014. gada 31. jūlijs), par ierobežojošiem pasākumiem saistībā ar Krievijas darbībām, kas destabilizē situāciju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SL 11.panta pirmā daļa; Padomes Regula (ES) Nr. 269/2014 (2014. gada 17. marts) par ierobežojošiem pasākumiem attiecībā uz darbībām, ar ko tiek grauta vai apdraudēta Ukrainas teritoriālā integritāte, suverenitāte un neatkarība; Padomes Regula (ES) Nr. 833/2014 (2014. gada 31. jūlijs), par ierobežojošiem pasākumiem saistībā ar Krievijas darbībām, kas destabilizē situāciju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SL 11.panta pirmā daļa; Padomes Regula (ES) Nr. 269/2014 (2014. gada 17. marts) par ierobežojošiem pasākumiem attiecībā uz darbībām, ar ko tiek grauta vai apdraudēta Ukrainas teritoriālā integritāte, suverenitāte un neatkarība; Padomes Regula (ES) Nr. 833/2014 (2014. gada 31. jūlijs), par ierobežojošiem pasākumiem saistībā ar Krievijas darbībām, kas destabilizē situāciju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SL 11.panta pirmā daļa; Padomes Regula (ES) Nr. 269/2014 (2014. gada 17. marts) par ierobežojošiem pasākumiem attiecībā uz darbībām, ar ko tiek grauta vai apdraudēta Ukrainas teritoriālā integritāte, suverenitāte un neatkarība; Padomes Regula (ES) Nr. 833/2014 (2014. gada 31. jūlijs), par ierobežojošiem pasākumiem saistībā ar Krievijas darbībām, kas destabilizē situāciju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SL 11.panta pirmā daļa; Padomes Regula (ES) Nr. 269/2014 (2014. gada 17. marts) par ierobežojošiem pasākumiem attiecībā uz darbībām, ar ko tiek grauta vai apdraudēta Ukrainas teritoriālā integritāte, suverenitāte un neatkarība; Padomes Regula (ES) Nr. 833/2014 (2014. gada 31. jūlijs), par ierobežojošiem pasākumiem saistībā ar Krievijas darbībām, kas destabilizē situāciju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SL 11.panta pirmā daļa; Padomes Regula (ES) Nr. 269/2014 (2014. gada 17. marts) par ierobežojošiem pasākumiem attiecībā uz darbībām, ar ko tiek grauta vai apdraudēta Ukrainas teritoriālā integritāte, suverenitāte un neatkarība; Padomes Regula (ES) Nr. 833/2014 (2014. gada 31. jūlijs), par ierobežojošiem pasākumiem saistībā ar Krievijas darbībām, kas destabilizē situāciju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SL 11.panta pirmā daļa; Padomes Regula (ES) Nr. 269/2014 (2014. gada 17. marts) par ierobežojošiem pasākumiem attiecībā uz darbībām, ar ko tiek grauta vai apdraudēta Ukrainas teritoriālā integritāte, suverenitāte un neatkarība; Padomes Regula (ES) Nr. 833/2014 (2014. gada 31. jūlijs), par ierobežojošiem pasākumiem saistībā ar Krievijas darbībām, kas destabilizē situāciju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SL 2. pants, 11.panta pirmā daļa un 12.</w:t>
            </w:r>
            <w:r w:rsidR="00000000" w:rsidRPr="00000000" w:rsidDel="00000000">
              <w:rPr>
                <w:sz w:val="24"/>
                <w:vertAlign w:val="superscript"/>
                <w:rtl w:val="0"/>
              </w:rPr>
              <w:t xml:space="preserve">1</w:t>
            </w:r>
            <w:r w:rsidR="00000000" w:rsidRPr="00000000" w:rsidDel="00000000">
              <w:rPr>
                <w:sz w:val="24"/>
                <w:rtl w:val="0"/>
              </w:rPr>
              <w:t xml:space="preserve"> panta ceturtā daļa; Padomes Regula (ES) Nr. 269/2014 (2014. gada 17. marts) par ierobežojošiem pasākumiem attiecībā uz darbībām, ar ko tiek grauta vai apdraudēta Ukrainas teritoriālā integritāte, suverenitāte un neatkarība; Padomes Regula (ES) Nr. 833/2014 (2014. gada 31. jūlijs), par ierobežojošiem pasākumiem saistībā ar Krievijas darbībām, kas destabilizē situāciju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 SL 11.panta pirmā daļa; Padomes Regula (ES) Nr. 269/2014 (2014. gada 17. marts) par ierobežojošiem pasākumiem attiecībā uz darbībām, ar ko tiek grauta vai apdraudēta Ukrainas teritoriālā integritāte, suverenitāte un neatkarība; Padomes Regula (ES) Nr. 833/2014 (2014. gada 31. jūlijs), par ierobežojošiem pasākumiem saistībā ar Krievijas darbībām, kas destabilizē situāciju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10., 84.</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35., 36., 46., 84.</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38., 84.</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84.</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36.panta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w:t>
            </w:r>
            <w:r w:rsidR="00000000" w:rsidRPr="00000000" w:rsidDel="00000000">
              <w:rPr>
                <w:sz w:val="24"/>
                <w:vertAlign w:val="superscript"/>
                <w:rtl w:val="0"/>
              </w:rPr>
              <w:t xml:space="preserve">2</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 un 70.</w:t>
            </w:r>
            <w:r w:rsidR="00000000" w:rsidRPr="00000000" w:rsidDel="00000000">
              <w:rPr>
                <w:sz w:val="24"/>
                <w:vertAlign w:val="superscript"/>
                <w:rtl w:val="0"/>
              </w:rPr>
              <w:t xml:space="preserve">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w:t>
            </w:r>
            <w:r w:rsidR="00000000" w:rsidRPr="00000000" w:rsidDel="00000000">
              <w:rPr>
                <w:sz w:val="24"/>
                <w:vertAlign w:val="superscript"/>
                <w:rtl w:val="0"/>
              </w:rPr>
              <w:t xml:space="preserve">11</w:t>
            </w:r>
            <w:r w:rsidR="00000000" w:rsidRPr="00000000" w:rsidDel="00000000">
              <w:rPr>
                <w:sz w:val="24"/>
                <w:rtl w:val="0"/>
              </w:rPr>
              <w:t xml:space="preserve">, 70.</w:t>
            </w:r>
            <w:r w:rsidR="00000000" w:rsidRPr="00000000" w:rsidDel="00000000">
              <w:rPr>
                <w:sz w:val="24"/>
                <w:vertAlign w:val="superscript"/>
                <w:rtl w:val="0"/>
              </w:rPr>
              <w:t xml:space="preserve">12</w:t>
            </w:r>
            <w:r w:rsidR="00000000" w:rsidRPr="00000000" w:rsidDel="00000000">
              <w:rPr>
                <w:sz w:val="24"/>
                <w:rtl w:val="0"/>
              </w:rPr>
              <w:t xml:space="preserve"> un 70.</w:t>
            </w:r>
            <w:r w:rsidR="00000000" w:rsidRPr="00000000" w:rsidDel="00000000">
              <w:rPr>
                <w:sz w:val="24"/>
                <w:vertAlign w:val="superscript"/>
                <w:rtl w:val="0"/>
              </w:rPr>
              <w:t xml:space="preserve">13</w:t>
            </w:r>
            <w:r w:rsidR="00000000" w:rsidRPr="00000000" w:rsidDel="00000000">
              <w:rPr>
                <w:sz w:val="24"/>
                <w:rtl w:val="0"/>
              </w:rPr>
              <w:t xml:space="preserve"> pants; KPL 358.pants; NILLTPFNL 32.</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56.pants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138., 143., 144., 145., 150., 151., 152., 154., 155., 156., 157., 159., 162., 163., 168., 171., 173., 175., 176., 179., 183., 184., 184.</w:t>
            </w:r>
            <w:r w:rsidR="00000000" w:rsidRPr="00000000" w:rsidDel="00000000">
              <w:rPr>
                <w:sz w:val="24"/>
                <w:vertAlign w:val="superscript"/>
                <w:rtl w:val="0"/>
              </w:rPr>
              <w:t xml:space="preserve">1</w:t>
            </w:r>
            <w:r w:rsidR="00000000" w:rsidRPr="00000000" w:rsidDel="00000000">
              <w:rPr>
                <w:sz w:val="24"/>
                <w:rtl w:val="0"/>
              </w:rPr>
              <w:t xml:space="preserve">, 186., 189., 190., 191., 192., 193., 196., 197., 198., 199., 201., 204., 215., 217., 218., 219., 220., 221., 222., 223., 224., 225., 226., 227.pants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SL 17.pantā; Trauksmes celšanas likuma 3.panta pirmā daļa; KL 315.pants; KPL 299.pants; Personu speciālās aizsardzības likuma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SL 12.pantā; NILLTPFNL 55.pants; Kriminālizlūkošanas atbalsta informācijas sistēmas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Kriminālprocesa likuma C daļa “Starptautiskā sadarbība krimināltiesiskajā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SL 17.pantā; Kriminālprocesa informācijas sistēmas noteikumu 11.punkts; Tiesu informācijas sistēmas noteikumu 8. un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papildina likumu ar informatīvo atsauci uz Direktīvu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Izmantojot Direktīvas 3. panta 2. punktā paredzēto dalībvalsts rīcības brīvību, tiek paredzēts noteikt, ka par Direktīvas 3. panta 1. punkta e) apakšpunktā paredzētā noziedzīgā nodarījuma izdarīšanu līdz 10 000 EUR ir piemērojama administratīvā atbildība.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Finanšu ministrija, Iekšlietu ministrija, Valsts drošības dienests, Valsts ieņēmumu dienests, Valsts kanceleja,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Latvijas Republikas prokuratūra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2024. gada 24. aprīļa direktīvā (ES) 2024/1226 par noziedzīgu nodarījumu un sodu noteikšanu attiecībā uz Savienības ierobežojošo pasākumu pārkāpumiem un ar ko groza Direktīvu (ES) 2018/1673 20. pantā noteiktās prasības, kas uzliek par pienākumu pārņemt direktīvas prasības līdz 2025. gada 20. maijam, sabiedrības līdzdalība likumprojekta izstrādē nav nodrošināta.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ierobežojošie pasākumi ir būtisks rīks, ar ko veicināt Līguma par Eiropas Savienību 21. pantā noteikto kopējās ārpolitikas un drošības politikas mērķu sasniegšanu. Šie mērķi ietver Eiropas Savienības vērtību sargāšanu, starptautiskā miera un drošības uzturēšanu, kā arī demokrātijas, tiesiskuma un cilvēktiesību konsolidāciju un atbalstīšanu.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24-TA-2315</w:t>
    </w:r>
    <w:r>
      <w:br/>
    </w:r>
    <w:r w:rsidR="00000000" w:rsidRPr="00000000" w:rsidDel="00000000">
      <w:rPr>
        <w:rtl w:val="0"/>
      </w:rPr>
      <w:t xml:space="preserve">Izdrukāts 29.07.2026. 22.59 - 2.0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24-TA-2315</w:t>
    </w:r>
    <w:r>
      <w:br/>
    </w:r>
    <w:r w:rsidR="00000000" w:rsidRPr="00000000" w:rsidDel="00000000">
      <w:rPr>
        <w:rtl w:val="0"/>
      </w:rPr>
      <w:t xml:space="preserve">Izdrukāts 29.07.2026. 22.59 - 2.0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anotācija_(ex_ante)_24-TA-2315.docx</dc:title>
</cp:coreProperties>
</file>

<file path=docProps/custom.xml><?xml version="1.0" encoding="utf-8"?>
<Properties xmlns="http://schemas.openxmlformats.org/officeDocument/2006/custom-properties" xmlns:vt="http://schemas.openxmlformats.org/officeDocument/2006/docPropsVTypes"/>
</file>