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Ministru kabineta (turpmāk – MK) 2021. gada 27. aprīlī (prot. Nr. 36; 27. §) apstiprināto Latvijas Atveseļošanas un noturības mehānisma plānu (turpmāk – Atveseļošanas plāns),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un MK 2021.gada 7.septembra noteikumiem Nr. 621 „Eiropas Savienības Atveseļošanas un noturības mehānisma plāna īstenošanas un uzraudzības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augstākās izglītības institūciju vai zinātnisko institūtu strukturālās pārmaiņas, lai veicinātu izcilību un augstākās izglītības un zinātnes kvalitātes un resursu ieguldījumu efektivitāti un starptautisko konkurētspēju, tostarp integrāciju starptautiskajos augstākās izglītības un pētniecības tīklos.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institūciju uzdevumi un loma pēdējās desmitgadēs ir būtiski mainījušies un kļuvuši ievērojami plašāki: globalizācija, tehnoloģiju attīstība, strauji mainīgs darba tirgus pieprasījums, augstākās izglītības un zinātniskās institūcijas ir kļuvušas par attīstīto valstu inovāciju ekosistēmas galveno virzītāju, pieaugošs institūciju un lēmumu pieņemšanas caurspīdīgums, efektivitāte un atbildība augstākās izglītības un zinātnes finansējuma diversifikācija.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ārvalstu ekspertu analīze un secinājumi rāda, ka neskatoties uz Latvijas augstskolu un zinātnes institūciju vērā ņemamo progresu un sasniegumiem atsevišķās jomās, tomēr sistēmiski netiek pilnībā izmantots augstskolu potenciāls.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 paredz kompleksas strukturālās pārmaiņas trīs pīlāros – pārvaldība (nodalīt akadēmisko un stratēģisko lēmumu pieņemšanu, iesaistīt ārējos locekļus), finansējums (tiek piešķirts pēc sasniegtajiem rezultātiem atbilstoši valsts prioritātēm un augstāko izglītības institūciju (turpmāk - AII) stratēģiskajai specializācijai) un cilvēkresursi (attīstīt jaunu un vienotu akadēmiskā un zinātniskā personāla karjeras modeli atbilstoši labākajai pasaules praksei, veicinot pasaules līmeņa personāla, īpaši diasporas, piesaisti un noturēšanu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Izglītības attīstības pamatnostādņu 2021. - 2027. gadam 4.1.2.2. uzdevumu[1], lai stiprinātu pētniecībā balstītas, starptautiski konkurētspējīgas augstākās izglītības institūcijas kvalitāti un resursu izmantošanas efektivitāti, sniedzot atbalstu institucionālās integrācijas risinājumiem, 5.2.1.1.i. investīcijas "Pētniecības, attīstības un konsolidācijas granti" otrās kārtas "Konsolidācijas un pārvaldības izmaiņu ieviešanas granti" ietvaros ir paredzēts atbalsts augstāko izglītības iestāžu un zinātnisko institūciju konsolidācijai un reorganizācijai.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Konsolidācijas un reorganizācijas mērķis ir stiprinot institūciju kapacitāti, spēcināt augstākās izglītības sistēmu, kā arī veicināt resursu koplietošanu un optimizāciju augstākās izglītības sistēmā. Konsolidācija ļaus izveidot pārdomātu un efektīvu izglītības sistēmu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likumā ir iestrādāta augstākās izglītības institūciju tipoloģija, definējot jēdzienu „augstskola” un nosakot augstskolu tipus – universitāte, lietišķo zinātņu augstskola un mākslas un kultūras augstskola, kā arī nosakot atbilstības kritērijus universitātes, augstskolas un mākslas un kultūras augstskolas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Augstskolu likums katram no augstskolu tipiem nosaka noteiktas prasības. Veicot risku izvērtēšanu, ir konstatēts, ka pastāv ļoti augsts risks, ka vairākas augstākās izglītības institūcijas neizpilda vairākas izvirzītās prasības, kas potenciāli rada nelabvēlīgas sekas un līdz ar to arī negatīvi var ietekmēt izglītības sistēmu Latvijā. Izrietoši, ja netiks veikts savlaicīgs reorganizācijas process, kas dod iespēju turpināt augstskolu darbību citas augstskolas ietvarā, pastāv augsts risks, ka valstij kā dibinātājai 2024.gadā būs jāpieņem lēmumi par atsevišķu augstskolu darbības pārtraukšanu, nododot studiju programmu īstenošanu citai augstskolai, jo nebūs nodrošināta tās atbilstība atbilstošai augstskolas tipoloģijai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Efektīvu izglītības iestāžu pārvaldības modeļu attīstība un iestāžu vadības kapacitātes stiprināšana pārmaiņu vadībai, mācīšanās organizāciju darbības principu īstenošana un izglītības resursu koplietošana.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augstāko izglītības institūciju un zinātnisko institūciju strukturālās pārmaiņas, lai veicinātu izcilību un augstākās izglītības un zinātnes kvalitātes un resursu ieguldījumu efektivitāti un starptautisko konkurētspēju, ir nepieciešams atbalsts šādu strukturālo pārmaiņu īstenošanai, tai skaitā nodrošinot augstāko izglītības institūciju un zinātnisko institūtu reorganizāciju un konsolidāciju, lai nodrošinātu pārdomātu un efektīvu izglītības sistēmu Latvijā, kā arī veicinātu resursu koplietošanu un optimizāciju augstākās izglītības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Konsolidācijas granti ir paredzēti, lai koordinēti un atbildīgi virzītu augstākās izglītības reformu ieviešanu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augstskolās ir jau izveidotas padomes un Ministru kabinets ir noteicis katras institūcijas stratēģisko specializāciju. Turpmāki ieguldījumi tiks nodrošināti ar nosacījumiem, lai izstrādātu pētniecības projektus, doktorantūras skolas, ieviestu akadēmiskās karjeras amatus (ieskaitot tenūras amatus), lai veidotu izcilības studiju programmas atbilstoši šīm stratēģiskajām prioritātēm, reformu ieviešanu vadot augstskolas padomei.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iniciatīvas, piemēram, “exit” granti, var dot papildu stimulu ātrākai reformu īstenošanai. “Exit” granti plānoti tikai Atveseļošanas plāna investīciju ietvaros, pēc 2026.gada nav plānots turpināt to finansēšanu no citiem avotiem. Paralēli šīm aktivitātēm konsolidācijas grantu nosacījums būs strukturālo reformu īstenošana. Iekšējās konsolidācijas nosacījums būs akadēmisko un administratīvo struktūrvienību optimizācija, akadēmisko un pētniecisko amatu integrācija, likvidēt (vai pārorientēt uz pieaugušo izglītības piedāvājumu) filiāles un pārskatīt studiju programmas, lai mazinātu dublēšanos. Ārējās konsolidācijas nosacījums būs augstākās izglītības institūcija vai zinātniskā institūta izstrādāts konsolidācijas plāns. Strukturālās pārmaiņas tiks plānotas un ieviestas ar investīcijas atbalstu līdz 2026.gada vidum, kad kāda no esošām augstākās izglītības institūcijām tiks integrēta esošā augstākās izglītības instritūcijām, vai kāds no esošajiem zinātniskajiem institūtiem tiks integrēts citā esošā zinātniskā institūtā.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pamatprincipi konsolidācijai balstās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studiju tematisko pārklājumu,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pētniecības pārklājumu,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2019.gada zinātnisko institūciju starptautiskā izvērtējuma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ģeogrāfisko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esošajām sadarbības iestrādnēm,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institūciju padotību.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vismaz 10 valsts augstskolas un zinātniskie institūti īstenos iekšējo vai ārējo konsolidāciju, ko noteiks institūciju iesniegtie konsolidācijas plāni. Izglītības un zinātnes ministrija (turpmāk arī - IZM) nodrošinās konsolidācijas plānu vērtēšanas kritēriju izstrādi un konsolidācijas plānu izvērtēšanu. Konsolidācijas plānu vērtēšanas kritēriji ietvers, piemēram, vai ir vienota attīstības stratēģija, resursu koplietošana, studiju programmu attīstība, kopīgu platformu veidošana, kā arī, vai ir apņemšanās īstenot iekšēju vai ārēju konsolidāciju, paredzot skaidru laika grafiku. Konsolidācijas grantu īstenošanas priekšnosacījums ir IZM saskaņots konsolidācijas plāns. Finansējuma saņēmēji būs valsts augstskolas vai zinātniskais institūts atbilstoši konsolidācijas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plānota augstskolu struktūrvienību skaita samazināšanās, īstenojot iekšējo konsolidāciju, vai augstskolu un zinātnisko institūtu skaita samazināšanās, īstenojot ārējo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plānoto ieguldījumu demarkāciju, ir nepieciešamas norādīt, ka Eiropas Savienības kohēzijas politikas programmas 2021.–2027.gadam investīcijas ietver arī iepriekš nefinansētas darbības reformu īstenošanai, kā arī atsevišķos gadījumos palielina darbību apjomu. Eiropas Savienības (turpmāk - ES) fondu investīcijas turpinās sniegt atbalstu Atveseļošanas plāna ietvaros atbalstītajiem doktorantūras un pēcdoktorantūras grantiem, kā arī digitalizācijas, tehnoloģiju attīstības, pētniecības un izglītības infrastruktūras uzlabošanas iniciatīvām. ES fondu atbalsts papildus plānots arī šādām reformu komponentēm - jaunā akadēmiskās karjeras modeļa ieviešana un cikliskas institucionālās akreditācijas ieviešana, kas savukārt nav plānots Atveseļošanas plāna investīciju ietvaros. Atšķirībā no iepriekšējiem ieguldījumiem, jaunajā plānošanas periodā plānots vairāk investēt pētniecības cilvēkresursu atjaunotnē un stiprināšanā, kas ir arī viena no Zinātnes, tehnoloģijas attīstības un inovācijas pamatnostādņu 2021.-2027. gadam prioritātēm, kā arī kopumā kāpināt ieguldījumus pētniecībā un attīstībā (turpmāk - P&amp;A), lai sasniegtu nacionāli nosprausto mērķi- paaugstināt P&amp;A izdevumus līdz 1,5% no iekšzemes kopprodukta.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plānoto investīciju aktivitāšu veida un satura ir saskatāma papildinātība ar šādiem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fondi 2014-2020: Specifiskais atbalsta mērķis (turpmāk - SAM) 8.2.1., SAM 8.2.2. 3.kārta, SAM 8.2.3., SAM 1.1.1 pasākums 1.1.1.2. un 1.1.1.3.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fondi 2021-2027: SAM 1.1.1. (Doktorantūras granti| Studentu inovāciju granti | Pēcdoktorantu pētījumi, t. sk. izcila ārvalstu akadēmiskā un zinātniskā personāla piesaiste | RIS3 inovācijas centri), SAM 4.2.2./ SAM 4.2.1. (Studiju modernizācija un digitalizācija | Akadēmiskās karjeras sistēmas  reformas ieviešana | Cikliskā institucionālā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ES fondu un Atveseļošanas plāna investīcijām veidosies šāda ieguldījumu papildinātība: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ES fondu 2014-2020 ieguldījumiem ir iesākts atbalsts  augstskolu pārvaldības uzlabošanas un digitalizācijas iniciatīvu īstenošanai, tehnoloģiju attīstībai, izglītības un pētniecības infrastruktūras uzlabojumiem, jaunu konkurētspējīgu studiju programmu izveidei, doktorantūras grantu aprobācijai, pēcdoktorantu atbalstam, ko plānots turpināt atbalstīt ar Atveseļošanas plāna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tikai ar Atveseļošanas plāna investīcijām plānoti granti strukturālo pārmaiņu īstenošanai (ārējai un iekšējai konsolidācijai), „Exit” granti, zinātnieku (profesoru) granti, iekšējās pētniecības un attīstības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tikai ar ES fondu 2021-2027 ieguldījumiem plānots sniegt atbalstu  jaunā akadēmiskās karjeras modeļa ieviešanai, cikliskas institucionālās akreditācijas ieviešanai un inovāciju grantiem studentiem;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gan ar Atveseļošanas plāna, gan ES fondu 2021-2027 plānots finansējums studiju vides modernizācijai un digitalizācijai, Viedās specializācijas stratēģijas (Research and Innovation strategy for smart specialization) (turpmāk - RIS3) inovācijas centriem, doktorantūras un pēcdoktorantūras grantiem.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tiks nodrošināta atbalstāmo darbību ietvarā, lai novērstu dubultās finansēšanas riskus. Atveseļošanas plāna investīcijas ietvaros galvenais uzsvars tiks likts uz augstskolu stratēģiskās specializācijas jomu attīstīšanu, bet ES fondu 2021- 2027 virziens tiks vērsts uz RIS3 jomu attīstību un tautsaimniecības transformāciju. Papildus visu Atveseļošanās plāna un ES fondu 2021-2027 ieguldījumu vērtēšanā, kas ir saistīti ar ieguldījumiem augstskolu un zinātnisko institūciju infrastruktūrā un digitalizācijā, tai skaitā aprīkojumā, būs iesaistīti IZM un nozares eksperti, līdz ar to tiks nodrošināta demarkācija starp projektos plānotajām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2.punktā </w:t>
      </w:r>
      <w:r w:rsidR="00000000" w:rsidRPr="00000000" w:rsidDel="00000000">
        <w:rPr>
          <w:rtl w:val="0"/>
        </w:rPr>
        <w:t xml:space="preserve">definēti noteikumu projektā lietotie termini. Kur noteikumu projekta </w:t>
      </w:r>
      <w:r w:rsidR="00000000" w:rsidRPr="00000000" w:rsidDel="00000000">
        <w:rPr>
          <w:b w:val="1"/>
          <w:rtl w:val="0"/>
        </w:rPr>
        <w:t xml:space="preserve">2.5., 2.12. un  2.13. apakšpunktā </w:t>
      </w:r>
      <w:r w:rsidR="00000000" w:rsidRPr="00000000" w:rsidDel="00000000">
        <w:rPr>
          <w:rtl w:val="0"/>
        </w:rPr>
        <w:t xml:space="preserve">noteiktie termini definēti atbilstoši Komisijas 2014.gada 17.jūnija regulai Nr.651/2014, ar ko noteiktas atbalsta kategorijas atzīst par saderīgām ar iekšējo tirgu, piemērojot Līguma 107. un 108. pantu, bet </w:t>
      </w:r>
      <w:r w:rsidR="00000000" w:rsidRPr="00000000" w:rsidDel="00000000">
        <w:rPr>
          <w:b w:val="1"/>
          <w:rtl w:val="0"/>
        </w:rPr>
        <w:t xml:space="preserve">2.15. apakšpunktā </w:t>
      </w:r>
      <w:r w:rsidR="00000000" w:rsidRPr="00000000" w:rsidDel="00000000">
        <w:rPr>
          <w:rtl w:val="0"/>
        </w:rPr>
        <w:t xml:space="preserve">noteiktais termins definēts atbilstoši Komisijas Paziņojuma “Nostādnes par valsts atbalstu pētniecībai, izstrādei un inovācijai”( 2014/C 198/01) 15.punkta v.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w:t>
      </w:r>
      <w:r w:rsidR="00000000" w:rsidRPr="00000000" w:rsidDel="00000000">
        <w:rPr>
          <w:b w:val="1"/>
          <w:rtl w:val="0"/>
        </w:rPr>
        <w:t xml:space="preserve">3. un 4. punktā</w:t>
      </w:r>
      <w:r w:rsidR="00000000" w:rsidRPr="00000000" w:rsidDel="00000000">
        <w:rPr>
          <w:rtl w:val="0"/>
        </w:rPr>
        <w:t xml:space="preserve"> noteikts, ka investīcijas ietvaros izglītības un zinātnes ministrija pilda Nozares ministrijas funkcijas un Centrālā finanšu un līgumu aģentūra ir Atbalsta sniedzēja, kas slēdz vienošanas par investīciju īstenošanu un piešķir investīcijas atbalstu atbilstoši Ministru kabineta 2021. gada 7. septembra noteikumos Nr.621 “Eiropas Savienības Atveseļošanas un noturības mehānisma plāna īstenošanas un uzraudzības kārtība” (turpmāk - MK noteikumi Nr.621) noteiktajam. Nozares ministrija, Centrālā finanšu un līgumu aģentūra un Iepirkumu uzraudzības birojs investīcijas ietvaros pilda tiem paredzētos pienākumus, kas noteikti MK noteikumos Nr.621. Papildus Nozares ministrija pilda arī citus uzdevumus, kas tai paredzēti noteikumu projekta</w:t>
      </w:r>
      <w:r w:rsidR="00000000" w:rsidRPr="00000000" w:rsidDel="00000000">
        <w:rPr>
          <w:b w:val="1"/>
          <w:rtl w:val="0"/>
        </w:rPr>
        <w:t xml:space="preserve"> 57.punktā.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5.punktā </w:t>
      </w:r>
      <w:r w:rsidR="00000000" w:rsidRPr="00000000" w:rsidDel="00000000">
        <w:rPr>
          <w:rtl w:val="0"/>
        </w:rPr>
        <w:t xml:space="preserve">noteiktais investīcijas otrās kārtas mērķis sekmēs augstāko izglītības insitūciju un zinātnisko institūtu strukturālās pārmaiņas, tai skaitā nodrošinot izcilību un augstākās izglītības un zinātnes kvalitātes un resursu ieguldījumu efektivitāti un starptautisko konkurētspējas pieaugumu. Minētā mērķa sasniegšanai ir nepieciešams nodrošināt atbalstu augstākās izglītības institūciju un zinātnisko institūtu reorganizācijai un konsolidācijai, kas tai skaitā nodrošinās pārdomātu un efektīvu izglītības sistēmu Latvijā, veicinot resursu koplietošanu un optimizāciju augstākās izglītības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mērķa grupa definēta noteikumu projekta </w:t>
      </w:r>
      <w:r w:rsidR="00000000" w:rsidRPr="00000000" w:rsidDel="00000000">
        <w:rPr>
          <w:b w:val="1"/>
          <w:rtl w:val="0"/>
        </w:rPr>
        <w:t xml:space="preserve">6.punktā</w:t>
      </w:r>
      <w:r w:rsidR="00000000" w:rsidRPr="00000000" w:rsidDel="00000000">
        <w:rPr>
          <w:rtl w:val="0"/>
        </w:rPr>
        <w:t xml:space="preserve"> un tās ir augstākās izglītības institūcijas, zinātniskie institūti, akadēmiskais personāls, administratīvais personāls un zinātniskais personāls, pēcdoktoranti un doktoranti.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Kopējie investīcijas ietvaros sasniedzamie reformas mērķa rādītāji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2023. gada 31.decembrim ar Izglītības un zinātnes ministriju saskaņoti augstākās izglītības institūciju konsolidācijas plāni  - vismaz 4. Šāds reformas mērķa rādītājs ir priekšnosacījums tālākām reformas ietvaros īstenotām darbībām. Kā jau tas noteikumu projektā paredzēts, tad pirms investīciju projektu iesniegumu iesniegšanas finansējuma saņēmējiem ir nepieciešamas saskaņot ar IZM augstākās izglītības institūciju vai zinātnisko institūtu konsolidācijas plānus. Līdz ar to ir nepieciešamas savlaicīgi vienoties par plānotām konsolidācijas vai reorganizācijas formām starp visām konsolidācijas procesā iesaistītām pusēm, lai sagatavotu kvalitatīvu konsolidācijas plānu, kurā tiktu skaidri atrunātas plānotās darbības arī tālākajos īstenojamajos investīcijas otrās kārtas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2026.gada 30.jūnijam valsts augstskolu īpatsvars, kurās ieviestas pārvaldības izmaiņas - 100%. Paredzot, ka visas augstākās izglītības iestādes ir ieviesušas jauno pārvaldības modeli,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izstrādājot vai grozot iekšējos normatīvos aktus, t.sk. Satversmi;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iekšējās vadības struktūrvienības (senāts, padome, rektors) darbojas saskaņā ar jauno atbildības un kompetenču sadalījumu;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rektora ievēlēšanas kritēriji ir nostiprināti atbilstoši Augstskolu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tādas vadības grupas iecelšana, kas nodala akadēmisku un stratēģisku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otrās kārtas sasniedzamos mērķa rādītāji (līdz 2026.gada 30.jūnijam)  un uzraudzības rādītājus (līdz 2024.gada 30.septembrim)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2026.gada 30.jūnijam noslēgtie konsolidācijas grantu līgumi - vismaz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2026.gada 30.jūnijam noslēgti akadēmiskās karjeras grantu līgumi - vismaz 158, tai skaitā vismaz 75 līdz 2024.gada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2026.gada 30.jūnijam noslēgti iekšējie pētniecības un attīstības grantu līgumi - vismaz 45, tai skaitā vismaz 22 līdz 2024.gada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mērķa un uzraudzības rādītāji ir savstarpēji saistīti, paredzot, ka investīciju projektu īstenošanu ir nepieciešams uzsākt savlaicīgi, lai nodrošinātu plānoto uzraudzības rādītāju sasniegšanu jau 2024.gada septembra beigās.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sasniedzamie nacionālie rādītāji tiks noteikti to izstrādātajos konsolidācijas plānos, ņemot vērā dažādo konsolidācijas raksturu. Ņemot vērā, ka konsolidācijas process var skart  divu zinātnes universitāšu vai lietišķo zinātņu universitāšu juridisku konsolidāciju vai gluži pretēji iekšēju konsolidāciju, tad vienoti nacionālie rādītāji nav noteikti, bet tie tiks noteikti konsolidācijas plānā balstoties uz tajā ietvertām darbībām un plānoto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sasniedzamais mērķa rādītājs - noslēgtie konsolidācijas grantu līgumi, sniedz ieguldījumu arī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(turpmāk - Regula Nr.2021/2106), pielikumā „Kopējo rādītāju saraksts” noteiktā kopējā rādītājā “atbalstītajās pētniecības struktūrās strādājošie pētnieki”.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sasniedzamie mērķa rādītāji  - noslēgtie akadēmiskās karjeras grantu līgumi un noslēgtie iekšējie pētniecības un attīstības grantu līgumi, sniedz ieguldījumu Regulas Nr. 2021/2106 pielikumā „Kopējo rādītāju saraksts” noteiktā kopējā rādītājā “to jauniešu skaits vecumā no 15 līdz 29 gadiem, kuri saņem atbalstu”, paredzot, ka rādītāju datus sadala pēc dzimuma (vīrieši, sievietes un nebinārās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Republikā spēkā esošiem normatīviem aktiem personas netiek iedalītas nebinārās personās. Saskaņā ar šobrīd rīcībā esošo informāciju, tuvākajā laikā nav plānots arī veikt grozījumus normatīvajos aktos, paredzot personas iedalīt arī nebinārās personās. Ievērojot minēto, informācija tiks apkopota un sniegta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sasniedzamais uzraudzības rādītājs iekļauts Atveseļošanas plāna Darbības kārtība, par kuru vienojas Eiropas Komisija un Latvija II pielikumā un tas paredzēts, lai pilnvērtīgi būtu iespējams sekot līdzi investīcijas otrās kārtas projektu ieviešanas progresam, ka arī finanšu plūsmas nodrošināšanai, paredzot konkrētus atskaites punktus, par kuru sasniegšanu būtu iespējams sniegt atskaites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Atveseļošanas fonda noteiktajiem investīcijas mērķa un investīcijas uzraudzības rādītājiem, Nozares ministrija paredz, ka atbilstoši noteikumu projekta </w:t>
      </w:r>
      <w:r w:rsidR="00000000" w:rsidRPr="00000000" w:rsidDel="00000000">
        <w:rPr>
          <w:b w:val="1"/>
          <w:rtl w:val="0"/>
        </w:rPr>
        <w:t xml:space="preserve">8.punktam</w:t>
      </w:r>
      <w:r w:rsidR="00000000" w:rsidRPr="00000000" w:rsidDel="00000000">
        <w:rPr>
          <w:rtl w:val="0"/>
        </w:rPr>
        <w:t xml:space="preserve"> finansējuma saņēmējiem tiks noteikti nacionālie rādītāji, kas tiks iestrādāti katra finansējuma saņēmēja konsolidācijas plānā. Tādējādi nodrošinot, ka Nozares ministrija varētu sekot līdzi finansējuma saņēmēju investīcijas otrās kārtas projektu ieviešanas progresam. Attiecībā uz iepriekš minēto rādītāju uzraudzību noteikumu projekta </w:t>
      </w:r>
      <w:r w:rsidR="00000000" w:rsidRPr="00000000" w:rsidDel="00000000">
        <w:rPr>
          <w:b w:val="1"/>
          <w:rtl w:val="0"/>
        </w:rPr>
        <w:t xml:space="preserve">10.punktā</w:t>
      </w:r>
      <w:r w:rsidR="00000000" w:rsidRPr="00000000" w:rsidDel="00000000">
        <w:rPr>
          <w:rtl w:val="0"/>
        </w:rPr>
        <w:t xml:space="preserve"> paredzēts, ka noteikumu projekta </w:t>
      </w:r>
      <w:r w:rsidR="00000000" w:rsidRPr="00000000" w:rsidDel="00000000">
        <w:rPr>
          <w:b w:val="1"/>
          <w:rtl w:val="0"/>
        </w:rPr>
        <w:t xml:space="preserve">7.punktā </w:t>
      </w:r>
      <w:r w:rsidR="00000000" w:rsidRPr="00000000" w:rsidDel="00000000">
        <w:rPr>
          <w:rtl w:val="0"/>
        </w:rPr>
        <w:t xml:space="preserve">noteikto investīcijas mērķa un uzraudzības rādītāju uzraudzību veiks Atbalsta sniedzējs, bet noteikumu projekta </w:t>
      </w:r>
      <w:r w:rsidR="00000000" w:rsidRPr="00000000" w:rsidDel="00000000">
        <w:rPr>
          <w:b w:val="1"/>
          <w:rtl w:val="0"/>
        </w:rPr>
        <w:t xml:space="preserve">8.punktā </w:t>
      </w:r>
      <w:r w:rsidR="00000000" w:rsidRPr="00000000" w:rsidDel="00000000">
        <w:rPr>
          <w:rtl w:val="0"/>
        </w:rPr>
        <w:t xml:space="preserve">noteikto nacionālo rādītāju uzraudzību un apstiprināšanu nodrošinās Nozares ministrija, paredzot to uzskaiti arī Kohēzijas politikas fondu vadības informācijas sistēmā (turpmāk -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11.punkts</w:t>
      </w:r>
      <w:r w:rsidR="00000000" w:rsidRPr="00000000" w:rsidDel="00000000">
        <w:rPr>
          <w:rtl w:val="0"/>
        </w:rPr>
        <w:t xml:space="preserve"> un </w:t>
      </w:r>
      <w:r w:rsidR="00000000" w:rsidRPr="00000000" w:rsidDel="00000000">
        <w:rPr>
          <w:b w:val="1"/>
          <w:rtl w:val="0"/>
        </w:rPr>
        <w:t xml:space="preserve">13. punkts </w:t>
      </w:r>
      <w:r w:rsidR="00000000" w:rsidRPr="00000000" w:rsidDel="00000000">
        <w:rPr>
          <w:rtl w:val="0"/>
        </w:rPr>
        <w:t xml:space="preserve">paredz, ka investīciju projektu īsteno ierobežotas projektu iesniegumu atlases ietvaros, kā arī investīcijas īstenošanai kopējais pieejamais finansējumus ir </w:t>
      </w:r>
      <w:r w:rsidR="00000000" w:rsidRPr="00000000" w:rsidDel="00000000">
        <w:rPr>
          <w:b w:val="1"/>
          <w:rtl w:val="0"/>
        </w:rPr>
        <w:t xml:space="preserve">55 950 924 </w:t>
      </w:r>
      <w:r w:rsidR="00000000" w:rsidRPr="00000000" w:rsidDel="00000000">
        <w:rPr>
          <w:b w:val="1"/>
          <w:i w:val="1"/>
          <w:rtl w:val="0"/>
        </w:rPr>
        <w:t xml:space="preserve">euro</w:t>
      </w:r>
      <w:r w:rsidR="00000000" w:rsidRPr="00000000" w:rsidDel="00000000">
        <w:rPr>
          <w:rtl w:val="0"/>
        </w:rPr>
        <w:t xml:space="preserve">, tai skaitā Atveseļošanas fonda finansējums - </w:t>
      </w:r>
      <w:r w:rsidR="00000000" w:rsidRPr="00000000" w:rsidDel="00000000">
        <w:rPr>
          <w:b w:val="1"/>
          <w:rtl w:val="0"/>
        </w:rPr>
        <w:t xml:space="preserve">53 695 700 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un valsts budžeta līdzfinansējums  - </w:t>
      </w:r>
      <w:r w:rsidR="00000000" w:rsidRPr="00000000" w:rsidDel="00000000">
        <w:rPr>
          <w:b w:val="1"/>
          <w:rtl w:val="0"/>
        </w:rPr>
        <w:t xml:space="preserve">2 255 224 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Investīcijas īstenošanai finansējums tiks nodrošināts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Atveseļošanas fonda finansējuma pievienotās vērtības nodokļa izmaksas nav attiecināmas, noteikumu projekta </w:t>
      </w:r>
      <w:r w:rsidR="00000000" w:rsidRPr="00000000" w:rsidDel="00000000">
        <w:rPr>
          <w:b w:val="1"/>
          <w:rtl w:val="0"/>
        </w:rPr>
        <w:t xml:space="preserve">13.punkts</w:t>
      </w:r>
      <w:r w:rsidR="00000000" w:rsidRPr="00000000" w:rsidDel="00000000">
        <w:rPr>
          <w:rtl w:val="0"/>
        </w:rPr>
        <w:t xml:space="preserve"> paredz valsts budžeta līdzfinansējumu pievienotās vērtības nodokļa segšanai, kur nosacījumi PVN finansēšanai ir noteikti noteikumu projekta </w:t>
      </w:r>
      <w:r w:rsidR="00000000" w:rsidRPr="00000000" w:rsidDel="00000000">
        <w:rPr>
          <w:b w:val="1"/>
          <w:rtl w:val="0"/>
        </w:rPr>
        <w:t xml:space="preserve">42.punktā</w:t>
      </w:r>
      <w:r w:rsidR="00000000" w:rsidRPr="00000000" w:rsidDel="00000000">
        <w:rPr>
          <w:rtl w:val="0"/>
        </w:rPr>
        <w:t xml:space="preserve">, kas paredz, ka finansējuma saņēmēji, ja tās ir atvasinātas publiskas personas, augstskolas, zinātniskās institūcijas, ja PVN nevar atgūt, tad tās tiek segtas no valsts budžeta līdzekļiem. Aprēķinot nepieciešamo PVN apmēru, tika pieņemts, ka 20% no kopējām Atveseļošanas fonda finansējuma izmaksām veidos pakalpojumu un digitalizācija, tehnoloģiju attīstības, pētniecības un izglītības infrastruktūras iegādes izmaksas, nemateriālo aktīvu iegāde un izveide, par kuru iegādi finansējuma saņēmēji nevarēs atgūt PVN, tas tiks segts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informatīvajam ziņojumam par Kohēzijas politikas Eiropas Savienības fondu investīciju aktualitātēm līdz 2022. gada 1. februārim (pusgada ziņojums) (pieņemts zināšanai Ministru kabineta 2022.gada 22.marta sēdē (prot. Nr.17 34.§)), ja PVN izmaksas Atveseļošanas fonda investīcijas otrā kārtas projekta ietvaros sedz cits finansētājs, piemēram, kredītiestāde, tad var uzskatīt, ka PVN tiek segts no privātajiem finanšu līdzekļiem. PVN priekšfinansēšanai var tikt izmantots finansējuma saņēmēja aizņemtais finansējums, pašu finansējums un finanšu instrumentu gadījumā Atveseļošanas fonda vai citu atbalsta instrumentu atmaksas.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Pievienotās vērtības nodokļa likuma 52.panta pirmās daļas 12.punktu un Ministru kabineta 2013.gada 3.janvāra noteikumu Nr.17 “Pievienotās vērtības nodokļa likuma normu piemērošanas kārtība un atsevišķas prasības pievienotās vērtības nodokļa maksāšanai un administrēšanai” 24., 26., 27. un 28.punktu valsts atzītu izglītības iestāžu pakalpojumi vispārējās izglītības, profesionālās izglītības, augstākās izglītības un interešu izglītības jomā, kā arī ar šiem izglītības pakalpojumiem cieši saistītu pakalpojumu sniegšana un preču piegāde, ko veiks finansējuma saņēmēji, netiek aplikti ar PVN. Finansējuma saņēmējiem un to sadarbības partneriem nebūs iespējams atgūt no valsts investīcijas otrās kārtas projekta ietvaros plānoto PVN. Saskaņā ar Pievienotās vērtības nodokļa likuma 92.pantu finansējuma saņēmēji un to sadarbības partneri nevarēs veikt priekšnodokļa atskaitīšanu par investīcijas otrās kārtas projekta ietvaros iegādātajām precēm un saņemtajiem pakalpojumiem, jo iegādātās preces un pakalpojumi netiks izmantoti ar PVN apliekamu darījumu nodrošināšanai. Iegādātās preces un pakalpojumi tiks izmantoti augstākās izglītības iestāžu vai zinātnisko institūciju strukturālo pārmaiņu īstenošanai, respektīvi, konsolidācijas pasākumiem un kā arī saistītām pētniecības darbībām (akadēmiskās karjeras un iekšējās pētniecības un attīstības grantiem) stratēģiskās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15. punktā</w:t>
      </w:r>
      <w:r w:rsidR="00000000" w:rsidRPr="00000000" w:rsidDel="00000000">
        <w:rPr>
          <w:rtl w:val="0"/>
        </w:rPr>
        <w:t xml:space="preserve"> ir noteikti finansējuma saņēmēji un tiem pieejamais finansējums noteikuma projekta </w:t>
      </w:r>
      <w:r w:rsidR="00000000" w:rsidRPr="00000000" w:rsidDel="00000000">
        <w:rPr>
          <w:b w:val="1"/>
          <w:rtl w:val="0"/>
        </w:rPr>
        <w:t xml:space="preserve">5.punktā</w:t>
      </w:r>
      <w:r w:rsidR="00000000" w:rsidRPr="00000000" w:rsidDel="00000000">
        <w:rPr>
          <w:rtl w:val="0"/>
        </w:rPr>
        <w:t xml:space="preserve"> noteikto mērķu sasniegšanai,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ārējai konsolidācijai, kuras rezultātā notiek zinātnes universitātes vai lietišķo zinātņu universitātes juridiska konsolidācija citā zinātnes universitātē, vai tām apvienojoties un izveidojot jaunu augstākās izglītības institūciju, kopējais pieejamais finansējums ir līdz 10 399 799 </w:t>
      </w:r>
      <w:r w:rsidR="00000000" w:rsidRPr="00000000" w:rsidDel="00000000">
        <w:rPr>
          <w:i w:val="1"/>
          <w:rtl w:val="0"/>
        </w:rPr>
        <w:t xml:space="preserve">euro</w:t>
      </w:r>
      <w:r w:rsidR="00000000" w:rsidRPr="00000000" w:rsidDel="00000000">
        <w:rPr>
          <w:rtl w:val="0"/>
        </w:rPr>
        <w:t xml:space="preserve">, paredzot Rīgas Tehnisko universitāti kā finansējuma saņēmējus, kas nodrošinātu Liepājas Universitātes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ārējai konsolidācijai, kuras rezultātā notiek mākslas un kultūras universitātes vai lietišķo zinātņu augstskolas juridiska konsolidācija zinātnes universitātē, vai tām apvienojoties un izveidojot jaunu augstākās izglītības institūciju, kopējais pieejamais finansējums ir līdz 7 487 856 </w:t>
      </w:r>
      <w:r w:rsidR="00000000" w:rsidRPr="00000000" w:rsidDel="00000000">
        <w:rPr>
          <w:i w:val="1"/>
          <w:rtl w:val="0"/>
        </w:rPr>
        <w:t xml:space="preserve">euro</w:t>
      </w:r>
      <w:r w:rsidR="00000000" w:rsidRPr="00000000" w:rsidDel="00000000">
        <w:rPr>
          <w:rtl w:val="0"/>
        </w:rPr>
        <w:t xml:space="preserve">, paredzot trīs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Rīgas Tehnisko universitāti, kas konsolidētu Rēzeknes Tehnoloģiju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Universitāti, kas konsolidētu Banku augstskolu;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Rīgas Tehnisko universitāti, kas konsolidētu Latvijas Jūras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Rīgas Stradiņa universitāti, kas konsolidētu Latvijas Sporta pedagoģijas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ārējai konsolidācijai, kuras rezultātā notiek zinātniskā institūta konsolidācija citā zinātniskajā institūtā, tiem apvienojoties vai izveidojot jaunu zinātnisko institūtu, kopējais pieejamais finansējums ir līdz 1 039 981 </w:t>
      </w:r>
      <w:r w:rsidR="00000000" w:rsidRPr="00000000" w:rsidDel="00000000">
        <w:rPr>
          <w:i w:val="1"/>
          <w:rtl w:val="0"/>
        </w:rPr>
        <w:t xml:space="preserve">euro</w:t>
      </w:r>
      <w:r w:rsidR="00000000" w:rsidRPr="00000000" w:rsidDel="00000000">
        <w:rPr>
          <w:rtl w:val="0"/>
        </w:rPr>
        <w:t xml:space="preserve">, kur finansējuma saņēmējs būtu Elektronikas un datorzinātņu institūts, kas konsolidētu Fizikālās enerģētikas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iekšējai konsolidācijai Latvijas Universitātei, tai skaitā nodrošinot Latvijas Universitātes koledžu konsolidāciju, kopējais pieejamais finansējums ir līdz 4 159 920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iekšējai konsolidācijai, kopējais pieejamais finansējums ir līdz 3 119 940 </w:t>
      </w:r>
      <w:r w:rsidR="00000000" w:rsidRPr="00000000" w:rsidDel="00000000">
        <w:rPr>
          <w:i w:val="1"/>
          <w:rtl w:val="0"/>
        </w:rPr>
        <w:t xml:space="preserve">euro</w:t>
      </w:r>
      <w:r w:rsidR="00000000" w:rsidRPr="00000000" w:rsidDel="00000000">
        <w:rPr>
          <w:rtl w:val="0"/>
        </w:rPr>
        <w:t xml:space="preserve">, paredzot trīs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Rīgas Tehniskai universitātei, nodrošinot Rīgas Tehniskās universitātes koledžu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Biozinātņu un tehnoloģiju universitātei, nodrošinot Latvijas Biozinātņu un tehnoloģiju universitātes koledžu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Rīgas Stradiņa universitātei, nodrošinot Rīgas Stradiņa universitātes koledžu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iekšējai konsolidācijai, kopējais pieejamais finansējums ir līdz 519 990 </w:t>
      </w:r>
      <w:r w:rsidR="00000000" w:rsidRPr="00000000" w:rsidDel="00000000">
        <w:rPr>
          <w:i w:val="1"/>
          <w:rtl w:val="0"/>
        </w:rPr>
        <w:t xml:space="preserve">euro, </w:t>
      </w:r>
      <w:r w:rsidR="00000000" w:rsidRPr="00000000" w:rsidDel="00000000">
        <w:rPr>
          <w:rtl w:val="0"/>
        </w:rPr>
        <w:t xml:space="preserve">paredzot divus finansējuma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Daugavpils Universitātei, nodrošinot Daugavpils Universitātes koledžu konsolidāciju;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Latvijas kultūras akadēmijai, nodrošinot Latvijas Kultūras akadēmijas Latvijas kultūras koledžas konsolidāciju;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maksimāli pieejamo finansējumu apmēru katram finansējuma saņēmējam tika ņemts vērā, gan konsolidējamo vienību skaits, lielums, akadēmiskā personāla un izglītojamo skaits, gan vērtējot potenciāli nepieciešamos resursus konsolidācijas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16.punktā </w:t>
      </w:r>
      <w:r w:rsidR="00000000" w:rsidRPr="00000000" w:rsidDel="00000000">
        <w:rPr>
          <w:rtl w:val="0"/>
        </w:rPr>
        <w:t xml:space="preserve">noteikti katram finansējuma saņēmējam sasniedzami investīcijas otrās kārtas mērķa rādītāji un to sasniegšanas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17. un 18. punkts</w:t>
      </w:r>
      <w:r w:rsidR="00000000" w:rsidRPr="00000000" w:rsidDel="00000000">
        <w:rPr>
          <w:rtl w:val="0"/>
        </w:rPr>
        <w:t xml:space="preserve"> paredz, ka  projekta iesniedzējs var būt augstākās izglītības institūcija vai zinātniskais institūts, kas ir saskaņojis ar IZM konsolidācijas plānu par kādu no noteikumu projekta </w:t>
      </w:r>
      <w:r w:rsidR="00000000" w:rsidRPr="00000000" w:rsidDel="00000000">
        <w:rPr>
          <w:b w:val="1"/>
          <w:rtl w:val="0"/>
        </w:rPr>
        <w:t xml:space="preserve">15.punktā </w:t>
      </w:r>
      <w:r w:rsidR="00000000" w:rsidRPr="00000000" w:rsidDel="00000000">
        <w:rPr>
          <w:rtl w:val="0"/>
        </w:rPr>
        <w:t xml:space="preserve">minētajām konsolidācijām. Paredzot, ka investīciju otrās kārtas projekta iesniedzējs par finansējuma saņēmēju kļūst brīdī, kad pēc investīciju projekta iesnieguma apstiprināšanās noslēdz vienošanos ar atbalsta sniedzēju. Tāpat paredzēts, ka finansējuma saņēmējs investīciju otrās kārtas projektu īstenošanai var piesaistīt sadarbības partnerus, kas ir cita augstākā izglītības institūcija vai zinātniskais institūts, kas atbilstoši konsolidācijas plānam sadarbībā ar finansējuma saņēmēju īstenos strukturālās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 </w:t>
      </w:r>
      <w:r w:rsidR="00000000" w:rsidRPr="00000000" w:rsidDel="00000000">
        <w:rPr>
          <w:b w:val="1"/>
          <w:rtl w:val="0"/>
        </w:rPr>
        <w:t xml:space="preserve">19. līdz 40.punktam</w:t>
      </w:r>
      <w:r w:rsidR="00000000" w:rsidRPr="00000000" w:rsidDel="00000000">
        <w:rPr>
          <w:rtl w:val="0"/>
        </w:rPr>
        <w:t xml:space="preserve"> definētas investīcijas otrās kārtas projektu ietvaros atbalstāmās darbības un izmaksas šo darbību īstenošanai. Atbalstāmās darbības var iedalīt sešās galvenās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konsolidācijas grantu īstenošana,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strukturālo pārmaiņu īstenošana (ārējai vai iekšējai konsolidācijai);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digitalizācija, tehnoloģiju attīstība un pētniecības un izglītības infrastruktūras uzlabošana (izņemot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jaunu un nākotnes izaicinājumiem un tematiskai specializācijai pielāgotu studiju programmu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"exit" granti, darba tiesisko attiecību izbeigšanai ar akadēmisko personālu virs 65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akadēmiskās karjeras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doktorantūras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pēcdoktorantūras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zinātnieku (profesoru)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iekšējo pētniecības un attīstības grantu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otrās kārtas projekta vadība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zinātniskās ekspertīzes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un publicitātes pasākumu īstenošana, tajā skaitā lai informētu par investīcijas otrās kārtas projektu kā par stratēģiski svarīgu.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projektā ir norādītas iespējamās izmaksas, lai sniegtu pēc iespējas plašāku skaidrojumu visām investīcijas otrās kārtas projektu īstenošanā un uzraudzībā iesaistītām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otrās kārtas ietvaros īstenotie projekti noteikti kā stratēģiski nozīmīgs projekti.  Komunikācijas pasākumu izmaksas stratēģiski svarīgā projekta īstenošanai tiek attiecinātas no investīcijas otrās kārtasprojekta, nodrošinot to nepārklāšanos ar Eiropas Komisijas pārstāvniecības piešķirto finansējumu komunikācijas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atlīdzības izmaksas investīcijas otrās kārtas projektā finansējuma saņēmējs ņem vērā normatīvos aktus, kas regulē atlīdzības izmaksu apmērus, ka arī paredz, ka sadarbības partneris var noteikt tādas investīcijas otrās kārtas projekta personāla atlīdzības izmaksas, kas atbilst viņa institūcijā noteiktajai iekšējai darba samaksas kārtībai/personāla atlīdzības politikai, līdz ar to investīcijas otrās kārtas projekta ietvaros investīcijas otrās kārtas projekta īstenošanas personāla atlīdzība dažādiem sadarbības partneriem var atšķirties. Vienlaikus šīm atšķirībām ir jābūt samērojamām un pierādāmām, un visiem sadarbības partneriem ir jāiesniedz šo izmaksu pamatojošie dokumenti – iekšējā darba samaksas kārtība, personāla atlīdzības politika un citi dokumenti, kas to apliecina. Nosakot atlīdzības izmaksas finansējuma saņēmējs un sadarbības partneri paredz, ka tiks ievēroti vienlīdzīgi nosacījumi gan attiecībā uz investīcijas otrās kārtas projektā nodarbinātajiem, gan citiem attiecīgās iestādes darbiniekiem, kuru atlīdzība netiek segta no investīcijas otrās kārtas projekta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otrās kārtas projektos atbalstāmās darbības ir veidotas pēc analoģijas jau ar iepriekš īstenotām dažādām valsts vai Eiropas Savienības fondu programmām. Piemēram, Iekšējiem pētniecības un attīstības grantiem izmaksas plānotas līdzīgi kā Fundamentālo un lietišķo pētījumu projektiem (FLPP), Doktorantūras grantiem izmaksas plānotas līdzīgi kā 8.2.2.specifiksā atbalsta mērķa "Stiprināt augstākās izglītības institūciju akadēmisko personālu stratēģiskās specializācijas jomās" trešās projektu iesniegumu atlases kārtas ietvaros, Pēcdoktorantūras grantiem atbalsts plānots līdzīgi kā 1.1.1. specifiskā atbalsta mērķa "Palielināt Latvijas zinātnisko institūciju pētniecisko un inovatīvo kapacitāti un spēju piesaistīt ārējo finansējumu, ieguldot cilvēkresursos un infrastruktūrā" 1.1.1.2. pasākuma "Pēcdoktorantūras pētniecības atbalsts" ietvaros, Zinātnieku (profesoru) grantiem izmaksas plānotas līdzīgi kā Fundamentālo un lietišķo pētījumu zinātnieku individuālajiem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daļai no iepriekš īstenotām valsts un Eiropas Savienības fondu programmām, ir bijušas izstrādātas vienkāršotās izmaksas, tad atbilstoši noteikumu projekta</w:t>
      </w:r>
      <w:r w:rsidR="00000000" w:rsidRPr="00000000" w:rsidDel="00000000">
        <w:rPr>
          <w:b w:val="1"/>
          <w:rtl w:val="0"/>
        </w:rPr>
        <w:t xml:space="preserve"> 41.punktam </w:t>
      </w:r>
      <w:r w:rsidR="00000000" w:rsidRPr="00000000" w:rsidDel="00000000">
        <w:rPr>
          <w:rtl w:val="0"/>
        </w:rPr>
        <w:t xml:space="preserve">Nozares ministrija izvērtēs iespējas, tai skaitā vērtējot nepieciešamo datu pieejamību, noteikumu </w:t>
      </w:r>
      <w:r w:rsidR="00000000" w:rsidRPr="00000000" w:rsidDel="00000000">
        <w:rPr>
          <w:b w:val="1"/>
          <w:rtl w:val="0"/>
        </w:rPr>
        <w:t xml:space="preserve">35., 36., 37., un 38. punktā</w:t>
      </w:r>
      <w:r w:rsidR="00000000" w:rsidRPr="00000000" w:rsidDel="00000000">
        <w:rPr>
          <w:rtl w:val="0"/>
        </w:rPr>
        <w:t xml:space="preserve"> minētajām izmaksām piemērot vienkāršoto izmaksu metodiku. Vērtējot vienkāršoto izmaksu piemērošanas iespēju cita starpā tiek ņemti vērā Finanšu ministrijas izvērtējuma “Vienkāršoto izmaksu piemērošanas iespējas 2021.-2027. gada ES fondu plānošanas periodā”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43.punkts</w:t>
      </w:r>
      <w:r w:rsidR="00000000" w:rsidRPr="00000000" w:rsidDel="00000000">
        <w:rPr>
          <w:rtl w:val="0"/>
        </w:rPr>
        <w:t xml:space="preserve"> paredz, ka finansējuma saņēmēji un sadarbības partneri veicot iepirkumus, kas nepieciešami atbalstāmo darbību īstenošanai, nodrošina, ka tiek veikts sociāli atbildīgais publiskais iepirkums[1], kā arī ievērotas Eiropas Savienības un Latvijas Republikas iepirkumu regulējošo normatīvo aktu prasības, īstenojot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 </w:t>
      </w:r>
      <w:r w:rsidR="00000000" w:rsidRPr="00000000" w:rsidDel="00000000">
        <w:rPr>
          <w:b w:val="1"/>
          <w:rtl w:val="0"/>
        </w:rPr>
        <w:t xml:space="preserve">44.punkta līdz 51.punktam</w:t>
      </w:r>
      <w:r w:rsidR="00000000" w:rsidRPr="00000000" w:rsidDel="00000000">
        <w:rPr>
          <w:rtl w:val="0"/>
        </w:rPr>
        <w:t xml:space="preserve"> aprakstīta kārtība un veicamās darbības pēc noteikumu projekta apstiprināšanas, lai nodrošinātu atzinuma sagatavošanu par investīciju otrās kārtas projektu atbilstību kvalitātes kritērijiem no Nozares ministrijas puses un vienošanās par investīcijas otrās kārtas projektu īstenošanu starp Atbalsta sniedzēju un finansējuma saņēmēju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pēc noteikumu projekta apstiprināšanas nosūtīs finansējuma saņēmējiem, kas būs saskaņojuši konsolidācijas plānu ar Nozares ministriju, vēstuli ar aicinājumu iesniegt investīcijas otrās kārtas projektu. Par iesniegto investīcijas otrās kārtas projektu Nozares ministrija sagatavos atzinumu, ko sagatavos atbilstoši Nozares ministrijas iekšējai kārtībai izveidota darba grupa. Nozares ministrija izvērtējot un sagatavojot atzinumu par finansējuma saņēmēja investīcijas otrās kārtas projektiem, katram finansējuma saņēmējam noteiks finansējuma sadalījumu atbalstāmo darbību īstenošanai, kas nepieciešams finansējuma saņēmējam šo noteikumu </w:t>
      </w:r>
      <w:r w:rsidR="00000000" w:rsidRPr="00000000" w:rsidDel="00000000">
        <w:rPr>
          <w:b w:val="1"/>
          <w:rtl w:val="0"/>
        </w:rPr>
        <w:t xml:space="preserve">7. punktā</w:t>
      </w:r>
      <w:r w:rsidR="00000000" w:rsidRPr="00000000" w:rsidDel="00000000">
        <w:rPr>
          <w:rtl w:val="0"/>
        </w:rPr>
        <w:t xml:space="preserve"> noteikto investīcijas mērķa un uzraudzības rādītāju sasniegšanai, kā arī noteiks šo noteikumu</w:t>
      </w:r>
      <w:r w:rsidR="00000000" w:rsidRPr="00000000" w:rsidDel="00000000">
        <w:rPr>
          <w:b w:val="1"/>
          <w:rtl w:val="0"/>
        </w:rPr>
        <w:t xml:space="preserve"> 8.punktā </w:t>
      </w:r>
      <w:r w:rsidR="00000000" w:rsidRPr="00000000" w:rsidDel="00000000">
        <w:rPr>
          <w:rtl w:val="0"/>
        </w:rPr>
        <w:t xml:space="preserve">paredzētos un konsolidācijas plānos ietvertos nacionālos rādītājus. Gadījumā ja, Nozares ministrija izvērtējot finansējuma saņēmēja investīcijas otrās kārtas projekta iesnieguma atbilstību kvalitātes kritērijiem, secinās, ka investīcijas otrās kārtas projekta iesniegumā nepieciešami precizējumi, tad Nozares ministrija nosūtīs atzinumu finansējuma saņēmējam ar lūgumu precizēt investīcijas otrās kārtas projekta iesniegumu atbilstoši noteikumu projektā noteiktajiem kvalitātes kritērijiem. Finansējuma saņēmējs pēc precizējumu veikšanas investīcijas otrās kārtas projekta iesniegumā atkārtoti iesniegs to izvērtēšanai Nozares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pozitīva atzinuma saņemšanas no Nozares ministrijas par investīcijas otrās kārtas projekta atbilstību kvalitātes kritērijiem un pēc investīciju otrās kārtas projekta iesnieguma apstiprināšanas vadības informācijas sistēmā Atbalsta sniedzējs slēgs vienošanos ar finansējuma saņēmējiem par investīcijas otrās kārtas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investīciju otrās kārtas projekta iesniedzējs neveic investīciju otrās kārtas projekta precizējumus vai papildinājumus atbilstoši nozares ministrijas norādījumiem, nozares ministrija var pieņem lēmumu noraidīt investīcijas otrās kārtas projekta iesniegumu. Nozares ministrija var uzaicināt investīciju otrās kārtas projekta iesniedzēju iesniegt investīciju otrās kārtas projekta iesniegumu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uz noteikumu projektā paredzētiem projekta iesniedzējiem nav attiecināms neviens no Eiropas Parlamenta un Padomes 2018.gada 18.jūlija regula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noteiktajiem izslēgšanas kritērijiem, jo plānotie projekta iesniedzēji ir atvasinātas publiskas personas, līdz ar to izslēgšanas kritēriju pārbaude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noteikumu projekta </w:t>
      </w:r>
      <w:r w:rsidR="00000000" w:rsidRPr="00000000" w:rsidDel="00000000">
        <w:rPr>
          <w:b w:val="1"/>
          <w:rtl w:val="0"/>
        </w:rPr>
        <w:t xml:space="preserve">52.punkts </w:t>
      </w:r>
      <w:r w:rsidR="00000000" w:rsidRPr="00000000" w:rsidDel="00000000">
        <w:rPr>
          <w:rtl w:val="0"/>
        </w:rPr>
        <w:t xml:space="preserve">atrunā nosacījumus, kas iekļaujami vienošanās par investīcijas otrās kārtas projektu īstenošanu. Kā vienu no nosacījumiem paredzot finansējuma saņēmējam pienākumu uzkrāt investīcijas otrās kārtas projekta sadarbības partneru un dalībnieku datus. Uzkrājot investīcijas otrās kārtas projekta dalībnieku datus paredz to dalījumā pēc vārda, uzvārda, personas koda, dzimuma, vecuma, invaliditātes un rases vai etniskās izcelsmes, kā arī pēc dalībnieka amata un pārstāvošās iestādes vai uzņēmuma,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53.punktā</w:t>
      </w:r>
      <w:r w:rsidR="00000000" w:rsidRPr="00000000" w:rsidDel="00000000">
        <w:rPr>
          <w:rtl w:val="0"/>
        </w:rPr>
        <w:t xml:space="preserve"> atrunāti pienākumi finansējuma saņēmējam, kas veicami noteiktā termiņā pēc vienošanās par investīcijas otrās kārtas projektu īstenošanu noslēgšanas - iesniegt plānoto maksājumu pieprasījumu iesniegšanas grafiku un plānoto iepirkumu plānu. Bet noteikuma </w:t>
      </w:r>
      <w:r w:rsidR="00000000" w:rsidRPr="00000000" w:rsidDel="00000000">
        <w:rPr>
          <w:b w:val="1"/>
          <w:rtl w:val="0"/>
        </w:rPr>
        <w:t xml:space="preserve">54.punkts</w:t>
      </w:r>
      <w:r w:rsidR="00000000" w:rsidRPr="00000000" w:rsidDel="00000000">
        <w:rPr>
          <w:rtl w:val="0"/>
        </w:rPr>
        <w:t xml:space="preserve"> paredz, ka finansējuma saņēmējam tiklīdz ir pieejama informācija par iepirkuma izsludināšanas brīdi ir jāiesniedz precizēta informācija Atbalsta sniedzējam precizējot plānoto iepirkumu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investīcijas otrās kārtas projekta īstenošanas laikā ir nepieciešami grozījumi investīcijas otrās kārtas projektā, plānoto maksājumu pieprasījumu iesniegšanas grafikā vai plānotā iepirkumu plānā, tad noteikumu projekta </w:t>
      </w:r>
      <w:r w:rsidR="00000000" w:rsidRPr="00000000" w:rsidDel="00000000">
        <w:rPr>
          <w:b w:val="1"/>
          <w:rtl w:val="0"/>
        </w:rPr>
        <w:t xml:space="preserve">56.punktā </w:t>
      </w:r>
      <w:r w:rsidR="00000000" w:rsidRPr="00000000" w:rsidDel="00000000">
        <w:rPr>
          <w:rtl w:val="0"/>
        </w:rPr>
        <w:t xml:space="preserve">ir noteiktā kārtība šādu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ja investīcijas otrās kārtas projekta īstenošanas laikā finansējuma saņēmējam ir paredzēts avanss, to var izmaksāt pa daļām. Viens avansa maksājums nepārsniedz 30 procentus no projektam piešķirtā Atveseļošanas fonda finansējuma un valsts budžeta līdzfinansējuma kopsummas. Finansējuma saņēmējiem avansa un starpposma maksājumu kopsumma var būt 90 procenti no projektā paredzētā Atveseļošanas fonda finansējuma un valsts budžeta līdzfinansējuma kopsummas.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61.punktā</w:t>
      </w:r>
      <w:r w:rsidR="00000000" w:rsidRPr="00000000" w:rsidDel="00000000">
        <w:rPr>
          <w:rtl w:val="0"/>
        </w:rPr>
        <w:t xml:space="preserve"> noteikts investīcijas otrās kārtas projektu īstenošanas termiņš - 2026. gada 30. jūnijs, paredzot termiņu Atbalsta sniedzējam nepieciešamo pārbaužu, noslēguma maksājumu un pārvaldības deklarācijai nepieciešamās informācijas sagatavošanai un audita kopsavilkuma sagatavošanai – 2026. gada 31. augusts.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sākot ar noteikumu spēkā stāšanās dienu var uzsākt noteikumu projektā paredzētās darbības, ja tās nav pabeigtas uz vienošanas par investīcijas otrās kārtas projekta īstenošanas noslēgšanas brīdi, kā arī ir cieši saistītas ar noteikumu projektā definētiem investīcijas otrās kārtas projekta investīcijas mērķa, investīcijas uzraudzības un nacionālajiem rādītājiem. Šāds nosacījums par izdevumu attiecināmību pirms vienošanās par projekta īstenošanu noslēgšanas ir nepieciešams, lai jau sākot ar noteikumu apstiprināšanās dienu, finansējuma saņēmējs varētu veikt visas nepieciešamās darbības, kas saistītas, gan ar akadēmiskās karjeras grantu un iekšējās pētniecības un attīstības grantu atlasi un citām darbībām, lai uz vienošanās par investīcijas otrās kārtas projekta īstenošanu noslēgšanas brīdi, varētu operatīvi uzsākt investīcijas otrās kārtas projektā paredzētās darbības un sasniegtu noteiktās starpposmu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 nodaļā "Ar saimniecisku darbību nesaistīta investīcijas otrās kārtas projekta īstenošanas nosacījumi" ir definēti attiecīgu projektu īstenošanas nosacījumi </w:t>
      </w:r>
      <w:r w:rsidR="00000000" w:rsidRPr="00000000" w:rsidDel="00000000">
        <w:rPr>
          <w:b w:val="1"/>
          <w:rtl w:val="0"/>
        </w:rPr>
        <w:t xml:space="preserve">68.punktā </w:t>
      </w:r>
      <w:r w:rsidR="00000000" w:rsidRPr="00000000" w:rsidDel="00000000">
        <w:rPr>
          <w:rtl w:val="0"/>
        </w:rPr>
        <w:t xml:space="preserve">definējot kritērijus ar saimniecisko darbību nesaistītiem sadarbības projektiem.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68.1.apakšpunktā</w:t>
      </w:r>
      <w:r w:rsidR="00000000" w:rsidRPr="00000000" w:rsidDel="00000000">
        <w:rPr>
          <w:rtl w:val="0"/>
        </w:rPr>
        <w:t xml:space="preserve"> definēti kritēriji investīcijas darbībām, savukārt </w:t>
      </w:r>
      <w:r w:rsidR="00000000" w:rsidRPr="00000000" w:rsidDel="00000000">
        <w:rPr>
          <w:b w:val="1"/>
          <w:rtl w:val="0"/>
        </w:rPr>
        <w:t xml:space="preserve">68.2.apakšpunktā </w:t>
      </w:r>
      <w:r w:rsidR="00000000" w:rsidRPr="00000000" w:rsidDel="00000000">
        <w:rPr>
          <w:rtl w:val="0"/>
        </w:rPr>
        <w:t xml:space="preserve">definētie kritēriji efektīvai sadarbībai - atbilstoši Komisijas Paziņojuma “Nostādnes par valsts atbalstu pētniecībai, izstrādei un inovācijai” (2014/C 198/01) 19.punkta a) un b) apakšpunktam un 28.punkta c), b) un d)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investīcijas otrās kārtas projektā īstenojot savstarpējo sadarbību finansējuma saņēmējam un sadarbības partnerim ir jānodrošina noteikumu projekta </w:t>
      </w:r>
      <w:r w:rsidR="00000000" w:rsidRPr="00000000" w:rsidDel="00000000">
        <w:rPr>
          <w:b w:val="1"/>
          <w:rtl w:val="0"/>
        </w:rPr>
        <w:t xml:space="preserve">69.punktā </w:t>
      </w:r>
      <w:r w:rsidR="00000000" w:rsidRPr="00000000" w:rsidDel="00000000">
        <w:rPr>
          <w:rtl w:val="0"/>
        </w:rPr>
        <w:t xml:space="preserve">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Paziņojuma “Nostādnes par valsts atbalstu pētniecībai, izstrādei un inovācijai” (2014/C 198/01) 20.punkta noteiktajam, ja pētniecības organizācija vai pētniecības infrastruktūra tiek izmantota gan saimnieciskām, gan nesaimnieciskām darbībām, valsts atbalsta noteikumi attiecas uz publisko finansējumu tikai tādā mērā, kādā finansējums sedz ar saimnieciskajām darbībām saistītās izmaksas. Ja pētniecības organizāciju vai pētniecības infrastruktūru izmanto gandrīz tikai nesaimnieciskai darbībai, valsts atbalsta noteikumi uz tās finansējumu var neattiekties pilnībā ar nosacījumu, ka izmantojums saimnieciskajai darbībai turpina būt tikai papildinošs, proti, tas atbilst ierobežotas jomas darbībai, kura ir tieši saistīta ar pētniecības organizācijas vai pētniecības infrastruktūras darbību un tai nepieciešama vai ir cieši saistīta ar tās galveno nesaimniecisko izmantojumu. Komisijas paziņojumā noteikts, ka tas notiek gadījumā, kad saimnieciskās darbībās tiek patērēts tieši tāds pats resursu (piemēram, materiāli, aprīkojums, darbaspēks un pamatkapitāls) apjoms kā nesaimnieciskās darbībās, un šādām saimnieciskām darbībām katru gadu piešķirtā kapacitāte nepārsniedz 20 % no attiecīgās struktūras kopējās gada kapacitātes.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ka Atbalsta sniedzējs uzraudzīs minēto papildinošās saimnieciskās darbības prasību ievērošanu visā investīcijas otrās kārtas projekta īstenošanas un investīcijas otrās kārtas projekta infrastruktūras amortizācijas periodā ievērojot Ministru kabineta 2018.gada 13.februāra noteikumu Nr.87 „Grāmatvedības uzskaites kārtība budžeta iestādēs 2.pielikumā „Pamatlīdzekļu kategorijas, grupas un apakšgrupas nolietojuma normu noteikšanai” noteikto laika periodu un atbilstoši Nozares ministrijas izstrādātajai papildinošās saimnieciskās darbības uzraudzības metodikai, kuru plānots izstrādāt līdz finansējuma saņēmēju pirmā maksājuma pieprasījuma iesniegšanai Atbalsta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vienošanās par investīcijas otrās kārtas projekta īstenošanu noteiks finansējuma saņēmējiem pienākumu attiecībā uz investīciju otrās kārtas projektā izveidoto infrastruktūru (t.sk. pamatlīdzekļiem) veikt papildinošas saimnieciskas darbības aprēķinus finanšu pārskata periodā, veidojot ikgadējas atskaites par papildinošās saimnieciskās darbības apjomu, t.sk. nodrošināt aprēķinus pamatojošus dokumentus. Atskaites, kas tiks izveidotas iepriekšējā finanšu pārskata periodā līdz investīciju otrās kārtas projektā iesniedzamajam noslēguma maksājuma pieprasījumam, finansējuma saņēmējiem būs jāiesniedz atbalsta sniedzējam uzraudzības darbību veikšanai. Savukārt infrastruktūras (t.sk. pamatlīdzekļu) amortizācijas periodā finansējuma saņēmējiem būs pienākums veidot ikgadējas atskaites par papildinošās saimnieciskās darbības apjomu, t.sk. nodrošināt aprēķinus pamatojošus dokumentus, bet atbalsta sniedzējam būs noteiktas tiesības pēc pieprasījuma no finansējuma saņēmēja saņemt uzkrātos aprēķinu datus. Investīcijas otrās kārtas projekta infrastruktūras investīciju uzraudzības precīza sistēma tiks paredzēta arī Nozares ministrijas papildinošas saimnieciskas darbības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līdz papildinošas saimnieciskas darbības metodikas izstrādei, Nozares ministrija atbilstoši noteikumu projekta </w:t>
      </w:r>
      <w:r w:rsidR="00000000" w:rsidRPr="00000000" w:rsidDel="00000000">
        <w:rPr>
          <w:b w:val="1"/>
          <w:rtl w:val="0"/>
        </w:rPr>
        <w:t xml:space="preserve">69.punktā</w:t>
      </w:r>
      <w:r w:rsidR="00000000" w:rsidRPr="00000000" w:rsidDel="00000000">
        <w:rPr>
          <w:rtl w:val="0"/>
        </w:rPr>
        <w:t xml:space="preserve"> noteiktajam, ka investīcijas otrās kārtas projekta ietvaros iegādātā izglītības un pētniecības infrastruktūrā, kuru izmanto finansējuma saņēmējs un tā sadarbības partneri mācību satura izstrādē un īstenošanā un pētniecības un attīstības aktivitāšu īstenošanai, ir pieļaujamas papildinošas saimnieciskas darbības ne vairāk kā 20 procentu apmērā no infrastruktūras gada jaudas platības, laika vai finanšu izteiksmē un cita saimnieciskā darbība projektā nevar tikt iekļauta, sniedz atsevišķus piemērus papildinošai saimnieciskai darbībai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Iesaistītām pusēm ir jānodrošina, ka īstenojot investīciju otrās kārtas projektus papildinošas saimnieciskās darbības uzraudzības nosacījumi tiks ievēroti atbilstoši sekojošos dokumentos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paziņojums par Līguma par Eiropas Savienības darbību 107. panta 1. punktā minēto valsts atbalsta jēdzienu (Eiropas Savienības Oficiālais Vēstnesis, 2016. gada 19. jūlijs, Nr. C 262/1) (turpmāk –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Komisijas paziņojums "Nostādnes par valsts atbalstu pētniecībai, izstrādei un inovācijai" (Eiropas Savienības Oficiālais Vēstnesis, 2014. gada 27. jūnijs, Nr. C 198/1) (turpmāk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Konkurences Ģenerāldirektorāta e-State Aid WIKI sistēmā (turpmāk – e-State Aid WIKI sistēma) sniegtie skaidrojumi par atgūšanas mehānismu un atgūstamā publiskā finansējuma aprēķināšanas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jau šobrīd spēkā esošie Eiropas Savienības  un Latvijas normatīvie akti attiecībā uz valsts atbalsta nosacījumu ievērošanu paredz, ka Eiropas Savienības atbalsta saņēmējiem ir jānodrošina papildinošas saimnieciskas darbības uzskaite. Papildus tam investīcijas otrās kārtas atbalsta saņēmēji ir augstākās izglītības institūcijas un pētniecības organizācijas, kurām noteikumu projekta </w:t>
      </w:r>
      <w:r w:rsidR="00000000" w:rsidRPr="00000000" w:rsidDel="00000000">
        <w:rPr>
          <w:b w:val="1"/>
          <w:rtl w:val="0"/>
        </w:rPr>
        <w:t xml:space="preserve">2.13. apakšpunktā </w:t>
      </w:r>
      <w:r w:rsidR="00000000" w:rsidRPr="00000000" w:rsidDel="00000000">
        <w:rPr>
          <w:rtl w:val="0"/>
        </w:rPr>
        <w:t xml:space="preserve">sniegtā definīcija paredz prasību uzkrāt datus par ieņēmumiem un izdevumiem no saimnieciskās darbības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gadījumos, ja tiek pārkāptas noteikumu projekta </w:t>
      </w:r>
      <w:r w:rsidR="00000000" w:rsidRPr="00000000" w:rsidDel="00000000">
        <w:rPr>
          <w:b w:val="1"/>
          <w:rtl w:val="0"/>
        </w:rPr>
        <w:t xml:space="preserve">68. un 69. punktā </w:t>
      </w:r>
      <w:r w:rsidR="00000000" w:rsidRPr="00000000" w:rsidDel="00000000">
        <w:rPr>
          <w:rtl w:val="0"/>
        </w:rPr>
        <w:t xml:space="preserve"> noteiktās komercdarbības atbalsta kontroles normas, finansējuma saņēmējam un sadarbības partnerim ir pienākums atmaksāt investīcijas otrās kārtas projektu ietvaros nelikumīgi saņemto komercdarbības atbalstu kopā ar procentiem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VII nodaļā "Finansējuma saņēmēja un tā sadarbības partneru sadarbības noteikumi"  atrunāti finansējuma saņēmēju un tā sadarbības partneru sadarbības noteikumi. Paredzot, ka finansējuma saņēmējam un sadarbības partnerim investīcijas otrās kārtas projektu īstenošanas laikā ir jānodrošina vizuālās identitātes prasības atbilstoši Eiropas parlamenta un Padomes 2021.gada 12.februāra Regulas  2021/241, ar ko izveido Atveseļošanas un noturības mehānismu 34. pantam un Eiropas Komisijas un Latvijas Republikas Atveseļošanas un noturības mehānisma finansēšanas nolīguma 10.pantam,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5.2.1.1.i. investīcijai nav paredzamas ietekmes uz principa „Nenodarīt būtisku kaitējumu”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informācijai - Iepirkumu uzraudzības biroja sagatavotā informācija par Sociāli atbildīgu publisko iepirkumu pieejama šeit: https://www.iub.gov.lv/lv/socialais-iepirkums.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izmantot Vadlīnijas sociāli atbildīga publiskā iepirkuma īstenošanai, kas ir pieejamas šeit: https://www.iub.gov.lv/lv/media/658/download;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prakses apkopojums ir pieejams šeit: https://www.iub.gov.lv/lv/media/877/download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pēcdoktoranti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atbalsts ir paredzēts akadēmiskās karjeras grantu ietvaros pēcdoktorantiem, doktorantiem, akadēmiskam un zinātniskam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Konsolidācija skars daļu augstāko izglītības institūciju un zinātnisko institūtu administratīvā personāla.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 veidā no augstāko izglītības institūciju konsolidācijas ieguvēji būs šo augstāko izglītības institūciju studenti, kuriem pateicoties veiktajām strukturālām pārmaiņām būs iespēja mācīties lielākās un spēcīgākās augstākās izglītības institūcijās, tādējādi iegūstot kvalitatīvāku augstākās izglītības un zinātnes pakalpojumu.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Augstāko izglītības institūciju un zinātnisko institūtu strukturālās pārmaiņas un konsolidācija veicinās izcilību un augstākās izglītības un zinātnes kvalitātes un resursu ieguldījumu efektivitāti un starptautisko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Augstāko izglītības institūciju un zinātnisko institūtu strukturālās pārmaiņas un konsolidācija veicinās izcilību un augstākās izglītības un zinātnes kvalitātes un resursu ieguldījumu efektivitāti un starptautisko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Augstāko izglītības institūciju un zinātnisko institūtu strukturālās pārmaiņas un konsolidācija veicinās izcilību un augstākās izglītības un zinātnes kvalitātes un resursu ieguldījumu efektivitāti un starptautisko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3 758 699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12 350 011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21 478 280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3 758 699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12 350 011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21 478 280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3 916 565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12 868 713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22 380 370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3 916 565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12 868 713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22 380 370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-902 090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-902 090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-157 866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-518 702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-902 090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otrās kārtas projektus plānots ieviest no 2023. gada II pusgada līdz 2026.gada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otrās kārtas projektu īstenošanai pieejamais kopējais finansējums vienošanās par investīciju otrās kārtas projekta īstenošanu slēgšanai, ir 55 950 924 </w:t>
            </w:r>
            <w:r w:rsidR="00000000" w:rsidRPr="00000000" w:rsidDel="00000000">
              <w:rPr>
                <w:sz w:val="24"/>
                <w:i w:val="1"/>
                <w:rtl w:val="0"/>
              </w:rPr>
              <w:t xml:space="preserve">euro</w:t>
            </w:r>
            <w:r w:rsidR="00000000" w:rsidRPr="00000000" w:rsidDel="00000000">
              <w:rPr>
                <w:sz w:val="24"/>
                <w:rtl w:val="0"/>
              </w:rPr>
              <w:t xml:space="preserve">, tai skaitā Atveseļošanas fonda finansējums  53 695 700 </w:t>
            </w:r>
            <w:r w:rsidR="00000000" w:rsidRPr="00000000" w:rsidDel="00000000">
              <w:rPr>
                <w:sz w:val="24"/>
                <w:i w:val="1"/>
                <w:rtl w:val="0"/>
              </w:rPr>
              <w:t xml:space="preserve">euro</w:t>
            </w:r>
            <w:r w:rsidR="00000000" w:rsidRPr="00000000" w:rsidDel="00000000">
              <w:rPr>
                <w:sz w:val="24"/>
                <w:rtl w:val="0"/>
              </w:rPr>
              <w:t xml:space="preserve">, valsts budžeta līdzfinansējums 2 255 224 </w:t>
            </w:r>
            <w:r w:rsidR="00000000" w:rsidRPr="00000000" w:rsidDel="00000000">
              <w:rPr>
                <w:sz w:val="24"/>
                <w:i w:val="1"/>
                <w:rtl w:val="0"/>
              </w:rPr>
              <w:t xml:space="preserve">euro</w:t>
            </w:r>
            <w:r w:rsidR="00000000" w:rsidRPr="00000000" w:rsidDel="00000000">
              <w:rPr>
                <w:sz w:val="24"/>
                <w:rtl w:val="0"/>
              </w:rPr>
              <w:t xml:space="preserve">. Budžeta ieņēmumi ir Atveseļošanas fonda finansējums 53 695 700 </w:t>
            </w:r>
            <w:r w:rsidR="00000000" w:rsidRPr="00000000" w:rsidDel="00000000">
              <w:rPr>
                <w:sz w:val="24"/>
                <w:i w:val="1"/>
                <w:rtl w:val="0"/>
              </w:rPr>
              <w:t xml:space="preserve">euro </w:t>
            </w:r>
            <w:r w:rsidR="00000000" w:rsidRPr="00000000" w:rsidDel="00000000">
              <w:rPr>
                <w:sz w:val="24"/>
                <w:rtl w:val="0"/>
              </w:rPr>
              <w:t xml:space="preserve">apmērā, valsts budžeta finansējums 2 255 224 </w:t>
            </w:r>
            <w:r w:rsidR="00000000" w:rsidRPr="00000000" w:rsidDel="00000000">
              <w:rPr>
                <w:sz w:val="24"/>
                <w:i w:val="1"/>
                <w:rtl w:val="0"/>
              </w:rPr>
              <w:t xml:space="preserve">euro </w:t>
            </w:r>
            <w:r w:rsidR="00000000" w:rsidRPr="00000000" w:rsidDel="00000000">
              <w:rPr>
                <w:sz w:val="24"/>
                <w:rtl w:val="0"/>
              </w:rPr>
              <w:t xml:space="preserve">apmērā paredzēts finansējuma saņēmējiem PVN izmaksu segšanai.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otrās kārtas projektu īstenošanai plānotie ieņēmumi sastāda 53 695 700 </w:t>
            </w:r>
            <w:r w:rsidR="00000000" w:rsidRPr="00000000" w:rsidDel="00000000">
              <w:rPr>
                <w:sz w:val="24"/>
                <w:i w:val="1"/>
                <w:rtl w:val="0"/>
              </w:rPr>
              <w:t xml:space="preserve">euro</w:t>
            </w:r>
            <w:r w:rsidR="00000000" w:rsidRPr="00000000" w:rsidDel="00000000">
              <w:rPr>
                <w:sz w:val="24"/>
                <w:rtl w:val="0"/>
              </w:rPr>
              <w:t xml:space="preserve"> (Atveseļošanas fonda finansējums).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- 3 758 699 </w:t>
            </w:r>
            <w:r w:rsidR="00000000" w:rsidRPr="00000000" w:rsidDel="00000000">
              <w:rPr>
                <w:sz w:val="24"/>
                <w:i w:val="1"/>
                <w:rtl w:val="0"/>
              </w:rPr>
              <w:t xml:space="preserve">euro</w:t>
            </w:r>
            <w:r w:rsidR="00000000" w:rsidRPr="00000000" w:rsidDel="00000000">
              <w:rPr>
                <w:sz w:val="24"/>
                <w:rtl w:val="0"/>
              </w:rPr>
              <w:t xml:space="preserve"> jeb aptuveni 7 %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- 12 350 011 </w:t>
            </w:r>
            <w:r w:rsidR="00000000" w:rsidRPr="00000000" w:rsidDel="00000000">
              <w:rPr>
                <w:sz w:val="24"/>
                <w:i w:val="1"/>
                <w:rtl w:val="0"/>
              </w:rPr>
              <w:t xml:space="preserve">euro</w:t>
            </w:r>
            <w:r w:rsidR="00000000" w:rsidRPr="00000000" w:rsidDel="00000000">
              <w:rPr>
                <w:sz w:val="24"/>
                <w:rtl w:val="0"/>
              </w:rPr>
              <w:t xml:space="preserve"> jeb aptuveni 23 %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- 21 478 280 </w:t>
            </w:r>
            <w:r w:rsidR="00000000" w:rsidRPr="00000000" w:rsidDel="00000000">
              <w:rPr>
                <w:sz w:val="24"/>
                <w:i w:val="1"/>
                <w:rtl w:val="0"/>
              </w:rPr>
              <w:t xml:space="preserve">euro</w:t>
            </w:r>
            <w:r w:rsidR="00000000" w:rsidRPr="00000000" w:rsidDel="00000000">
              <w:rPr>
                <w:sz w:val="24"/>
                <w:rtl w:val="0"/>
              </w:rPr>
              <w:t xml:space="preserve"> jeb aptuveni 40 %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- 16 108 710 </w:t>
            </w:r>
            <w:r w:rsidR="00000000" w:rsidRPr="00000000" w:rsidDel="00000000">
              <w:rPr>
                <w:sz w:val="24"/>
                <w:i w:val="1"/>
                <w:rtl w:val="0"/>
              </w:rPr>
              <w:t xml:space="preserve">euro</w:t>
            </w:r>
            <w:r w:rsidR="00000000" w:rsidRPr="00000000" w:rsidDel="00000000">
              <w:rPr>
                <w:sz w:val="24"/>
                <w:rtl w:val="0"/>
              </w:rPr>
              <w:t xml:space="preserve"> jeb aptuveni 30 %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projektu īstenošanai nepieciešamie izdevumi sastāda 55 950 924 </w:t>
            </w:r>
            <w:r w:rsidR="00000000" w:rsidRPr="00000000" w:rsidDel="00000000">
              <w:rPr>
                <w:sz w:val="24"/>
                <w:i w:val="1"/>
                <w:rtl w:val="0"/>
              </w:rPr>
              <w:t xml:space="preserve">euro</w:t>
            </w:r>
            <w:r w:rsidR="00000000" w:rsidRPr="00000000" w:rsidDel="00000000">
              <w:rPr>
                <w:sz w:val="24"/>
                <w:rtl w:val="0"/>
              </w:rPr>
              <w:t xml:space="preserve">, tai skaitā, valsts budžeta līdzfinansējums 2 255 224 </w:t>
            </w:r>
            <w:r w:rsidR="00000000" w:rsidRPr="00000000" w:rsidDel="00000000">
              <w:rPr>
                <w:sz w:val="24"/>
                <w:i w:val="1"/>
                <w:rtl w:val="0"/>
              </w:rPr>
              <w:t xml:space="preserve">euro</w:t>
            </w:r>
            <w:r w:rsidR="00000000" w:rsidRPr="00000000" w:rsidDel="00000000">
              <w:rPr>
                <w:sz w:val="24"/>
                <w:rtl w:val="0"/>
              </w:rPr>
              <w:t xml:space="preserve">, kas paredzēts finansējuma saņēmējiem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- 3 916 565 </w:t>
            </w:r>
            <w:r w:rsidR="00000000" w:rsidRPr="00000000" w:rsidDel="00000000">
              <w:rPr>
                <w:sz w:val="24"/>
                <w:i w:val="1"/>
                <w:rtl w:val="0"/>
              </w:rPr>
              <w:t xml:space="preserve">euro</w:t>
            </w:r>
            <w:r w:rsidR="00000000" w:rsidRPr="00000000" w:rsidDel="00000000">
              <w:rPr>
                <w:sz w:val="24"/>
                <w:rtl w:val="0"/>
              </w:rPr>
              <w:t xml:space="preserve"> jeb aptuveni 7 % no kopējiem izdevumiem, tai skaitā, 157 866 </w:t>
            </w:r>
            <w:r w:rsidR="00000000" w:rsidRPr="00000000" w:rsidDel="00000000">
              <w:rPr>
                <w:sz w:val="24"/>
                <w:i w:val="1"/>
                <w:rtl w:val="0"/>
              </w:rPr>
              <w:t xml:space="preserve">euro</w:t>
            </w:r>
            <w:r w:rsidR="00000000" w:rsidRPr="00000000" w:rsidDel="00000000">
              <w:rPr>
                <w:sz w:val="24"/>
                <w:rtl w:val="0"/>
              </w:rPr>
              <w:t xml:space="preserve">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- 12 868 713 </w:t>
            </w:r>
            <w:r w:rsidR="00000000" w:rsidRPr="00000000" w:rsidDel="00000000">
              <w:rPr>
                <w:sz w:val="24"/>
                <w:i w:val="1"/>
                <w:rtl w:val="0"/>
              </w:rPr>
              <w:t xml:space="preserve">euro</w:t>
            </w:r>
            <w:r w:rsidR="00000000" w:rsidRPr="00000000" w:rsidDel="00000000">
              <w:rPr>
                <w:sz w:val="24"/>
                <w:rtl w:val="0"/>
              </w:rPr>
              <w:t xml:space="preserve"> jeb aptuveni 23 % no kopējiem izdevumiem, tai skaitā, 518 702 </w:t>
            </w:r>
            <w:r w:rsidR="00000000" w:rsidRPr="00000000" w:rsidDel="00000000">
              <w:rPr>
                <w:sz w:val="24"/>
                <w:i w:val="1"/>
                <w:rtl w:val="0"/>
              </w:rPr>
              <w:t xml:space="preserve">euro</w:t>
            </w:r>
            <w:r w:rsidR="00000000" w:rsidRPr="00000000" w:rsidDel="00000000">
              <w:rPr>
                <w:sz w:val="24"/>
                <w:rtl w:val="0"/>
              </w:rPr>
              <w:t xml:space="preserve">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- 22 380 370 </w:t>
            </w:r>
            <w:r w:rsidR="00000000" w:rsidRPr="00000000" w:rsidDel="00000000">
              <w:rPr>
                <w:sz w:val="24"/>
                <w:i w:val="1"/>
                <w:rtl w:val="0"/>
              </w:rPr>
              <w:t xml:space="preserve">euro</w:t>
            </w:r>
            <w:r w:rsidR="00000000" w:rsidRPr="00000000" w:rsidDel="00000000">
              <w:rPr>
                <w:sz w:val="24"/>
                <w:rtl w:val="0"/>
              </w:rPr>
              <w:t xml:space="preserve"> jeb aptuveni 40 % no kopējiem izdevumiem, tai skaitā, 902 090 </w:t>
            </w:r>
            <w:r w:rsidR="00000000" w:rsidRPr="00000000" w:rsidDel="00000000">
              <w:rPr>
                <w:sz w:val="24"/>
                <w:i w:val="1"/>
                <w:rtl w:val="0"/>
              </w:rPr>
              <w:t xml:space="preserve">euro</w:t>
            </w:r>
            <w:r w:rsidR="00000000" w:rsidRPr="00000000" w:rsidDel="00000000">
              <w:rPr>
                <w:sz w:val="24"/>
                <w:rtl w:val="0"/>
              </w:rPr>
              <w:t xml:space="preserve">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- 16 785 277 </w:t>
            </w:r>
            <w:r w:rsidR="00000000" w:rsidRPr="00000000" w:rsidDel="00000000">
              <w:rPr>
                <w:sz w:val="24"/>
                <w:i w:val="1"/>
                <w:rtl w:val="0"/>
              </w:rPr>
              <w:t xml:space="preserve">euro</w:t>
            </w:r>
            <w:r w:rsidR="00000000" w:rsidRPr="00000000" w:rsidDel="00000000">
              <w:rPr>
                <w:sz w:val="24"/>
                <w:rtl w:val="0"/>
              </w:rPr>
              <w:t xml:space="preserve"> jeb aptuveni 30 % no kopējiem izdevumiem, tai skaitā, 676 567 </w:t>
            </w:r>
            <w:r w:rsidR="00000000" w:rsidRPr="00000000" w:rsidDel="00000000">
              <w:rPr>
                <w:sz w:val="24"/>
                <w:i w:val="1"/>
                <w:rtl w:val="0"/>
              </w:rPr>
              <w:t xml:space="preserve">euro</w:t>
            </w:r>
            <w:r w:rsidR="00000000" w:rsidRPr="00000000" w:rsidDel="00000000">
              <w:rPr>
                <w:sz w:val="24"/>
                <w:rtl w:val="0"/>
              </w:rPr>
              <w:t xml:space="preserve"> PVN izmaksu segšanai;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projekta īstenošanai nepieciešamo finansējumu 2023., 2024., 2025. un 2026. gadam plānots iestrādāt budžeta ilgtermiņa saistībās likumprojekta “Par vidēja termiņa budžeta ietvaru 2023., 2024. un 2025. gadam” un likumprojekta “Par valsts budžetu 2023. gadam” sagatavošanas laikā un nepieciešamības gadījumā veikti precizējumi turpmāko gadu budžeta likumprojektu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izmaksu segšanai nepieciešamā finansējuma sadalījums pa gadiem norādīts indikatīvi un var tikt precizēts pēc Investīciju projektu apstiprināšanas.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52014XC0627(01)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27.06.2014, Eiropas komisija, C 198/1, paziņojumus, Nostādnes par valsts atbalstu pētniecībai, izstrādei un inovācijai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12.02.2021, Eiropas Parlaments un Padome, L 57/17, regula Eiropas Parlamenta un Padomes regulas Nr.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27.06.2014, Eiropas komisija, C 198/1, paziņojumus, Nostādnes par valsts atbalstu pētniecībai, izstrādei un inovācijai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Nr.2014/C 198/01 15.punkta v.apakšpunkts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Nr.2014/C 198/01 28.punkta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Nr.2014/C 198/01 28.punkta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Nr.2014/C 198/01 28.punkta d.apakšpunkts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Nr.2014/C 198/01 19.punkta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paziņojuma Nr.2014/C 198/01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91.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12.02.2021, Eiropas Parlaments un Padome, L 57/17, regula Eiropas Parlamenta un Padomes regulas Nr.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2021/241 34.pants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2021/241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institūcijas un zinātniskie institūti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pārrunāti potenciālie konsolidācijas gadījumi un to ieviešanas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Zinātniskie institūti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investīcijas ietvaros tiks sniegts atbalsts augstāko izglītības institūciju un zinātnisko institūtu konsolidācijai, bet lēmums par konkrētu augstākās izglītības institūciju vai zinātnisko institūtu tiks pieņemts Ministru kabinetā ar atsevišķu rīkojumu.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Nepieciešams definēt kādu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22-TA-2792</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22-TA-2792</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anotācija_(ex_ante)_22-TA-2792.docx</dc:title>
</cp:coreProperties>
</file>

<file path=docProps/custom.xml><?xml version="1.0" encoding="utf-8"?>
<Properties xmlns="http://schemas.openxmlformats.org/officeDocument/2006/custom-properties" xmlns:vt="http://schemas.openxmlformats.org/officeDocument/2006/docPropsVTypes"/>
</file>