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 (turpmāk – TA projekts)  ir Labklājības ministrijas (turpmāk – LM) iniciatīva un izstrādāts saskaņā ar Eiropas Savienības fondu 2021. – 2027. gada plānošanas perioda vadības likuma 19. panta 6. un 13. punktu, kā arī izpildot Ministru kabineta (turpmāk – MK) 2022. gada 19. aprīļa sēdes protokollēmuma (protokols Nr. 22, 37.§) 10. punkta uzdevumu. TA projekts izstrādāts, ņemot vērā Informatīvo ziņojumu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(turpmāk – informatīvais ziņojums), kas izskatīts MK 2022. gada 19. aprīļa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noteikt normatīvo regulējumu Eiropas Savienības kohēzijas politikas programmas 2021.–2027. gadam (turpmāk – programma) 4.3.6. specifiskā atbalsta mērķa “Veicināt nabadzības vai sociālās atstumtības riskam pakļauto cilvēku, tostarp vistrūcīgāko un bērnu, sociālo integrāciju” 4.3.6.2. pasākumam “Atbalsta pasākumi Veselības un darbspēju ekspertīzes ārstu valsts komisijas klientu apkalpošanas efektivitātes un kvalitātes uzlabošanai, speciālistu profesionālo spēju, invaliditātes informatīvās sistēmas procesu un funkcionalitātes pilnveidei”.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un darbspēju ekspertīzes ārstu valsts komisijas (turpmāk – komisija) darba prioritātes izriet no Apvienoto Nāciju Organizācijas (turpmāk – ANO) Konvencijas par personu ar invaliditāti tiesībām, kas stājās spēkā Latvijā 2010. gada 31. martā (turpmāk – Konvencija),[1] ANO Personu ar invaliditāti tiesību komitejas rekomendācijām[2], Nacionālā attīstības plāna (rīcības virziena “Sociālā iekļaušana” uzdevums “Sociālās politikas plānošanas, uzraudzības un novērtēšanas stiprināšana, uzlabojot datu vākšanu, digitalizēto datu apriti un savietojamību, pakalpojumu administrēšanu, kā arī analīzi pierādījumos balstītu lēmumu pieņemšanai sociālās politikas attīstībai un sociālo pakalpojumu administrēšanai”), Sociālās aizsardzības un darba tirgus politikas pamatnostādnēm 2021.–2027. gadam[3], citiem starptautiskiem un nacionāliem tiesību aktiem un plānošanas dokumentiem, kā arī komisijas darbības stratēģijas 2021.–2023. gadam  (turpmāk – komisijas stratēģija)[4].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Konvencijā ir norādītas 26 tiesību jomas, kas ir svarīgas, lai aizsargātu personu ar invaliditāti tiesības un veicinātu vienlīdzīgu iespēju nodrošināšanu, kā arī cieņpilnu attieksmi. Starp tām – vienlīdzība, diskriminācijas aizliegums, veselība, izglītība, nodarbinātība un līdzdalība sabiedriskajā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īstenotā invaliditātes politika ir balstīta cilvēktiesību pieejā – darbības vērstas uz personas ar invaliditāti tiesībām uz patstāvīgu dzīvi un aktīvu līdzdalību sabiedriskajos procesos, būt pašam savas dzīves noteicējam, izmantojot visas tiesības un brīvības, kas ir piemērojamas vienlīdzīgu iespēju īstenošanā un savas dzīves kvalitātes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ar invaliditāti skaits un īpatsvars Latvijas pastāvīgo iedzīvotāju skaitā turpina pieaugt. 2014. gadā personu ar invaliditāti īpatsvars kopējā valsts iedzīvotāju skaitā bija 8, 6%, bet 2021. gada beigās jau 10, 5 % jeb 193 292 personas  ar invaliditāti (tai skaitā 103 598  sievietes un 89 694 vīrieši)[5].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dati liecina arī par bērnu ar invaliditāti skaita pieaugošu tendenci. Piemēram, 2018. gadā Latvijā bija 8 262 bērni (tai skaitā 3 489 meitenes un 4 773 zēni) ar invaliditāti, 2019. gadā – 8 330 bērni (tai skaitā 3 498 meitenes un 4 832 zēni) ar invaliditāti, 2020. gadā  – 8 444 bērni (tai skaitā 3 516 meitenes un 4 928 zēni) ar invaliditāti un 2021. gada decembrī skaits saglabājas līdzīgs – 8 746 bērni (tai skaitā 3 581 meitenes un 5 165 zēni) ar invaliditāti[6].  Bērnu ar invaliditāti īpatsvars starp personām ar invaliditāti jau vairākus gadus ir ap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Bankas ziņojumā “Invaliditātes politika un invaliditātes noteikšanas sistēma Latvijā” (Report No: AUS0001961, Washington D.C., Brussels and Riga November 2020)[7] uzsvērts, ka Latvijā invaliditātes noteikšanā un atbalsta pasākumu piešķiršanā nepieciešams attīstīt integrētu pieeju. Integrēta pieeja paredz, ka klients ir centrā un iesaistītās institūcijas un visi personai pienākošies atbalsta mehānismi ir vērsti uz kopēju mērķi – personas funkcionēšanas spēju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komisijas darbu un rezultatīvos rādītājus turpināja ietekmēt Covid-19 izplatība un tā ierobežošanai noteiktie pasākumi. Neskatoties uz to, 2021. gadā pieņemti 127 113 lēmumi (82 355 par invaliditāti (tai skaitā lēmumi par darbspēju zaudējumu ar speciālajiem cēloņiem), 13 par prognozējamo invaliditāti un 44 745 citi ar invaliditāti saistīti lēmumi (atzinumi))[8].   Salīdzinoši ar 2020. gadu, kad pieņemti 80 980 lēmumi (74 441 par invaliditāti, 35 par prognozējamo invaliditāti un 6504 lēmumi par darbspēju zaudējumu ar speciālajiem cēloņiem), vērojams pieņemto lēmumu skaita pieaugums. Pirmreizējos un arī kopējos invaliditātes rādītājos pieaug pensijas vecuma cilvēku īpatsvars, kas arī saistāms ar to, ka invaliditātes sistēmas ietvaros personas saņem atbalsta pasākumus, kas īpaši aktuāli kļūst senioriem, kuriem vecumā izveidojas veselības traucējumi un pašaprūpes grūtības, līdz ar to pieaug arī nepieciešamība pēc attiecīgiem pakalpojumiem[9]. Ņemot vērā minēto, pieņemto lēmumu skaits ir pieaudzis, kas  liecina par pieaugušo komisijas darba apjoma un slodzes 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prognozējamas invaliditātes un invaliditātes ekspertīzes procesa īstenošanai, kā arī kvalitatīva pakalpojuma sniegšanai personām ar invaliditāti, nepieciešama komisijas vecāko ārstu ekspertu, speciālistu, amatpersonu, atbalsta funkciju veicēju un citu komisijā nodarbināto profesionālo spēju uzturēšana augstā līmenī. Komisijas sniegtā pakalpojuma ietvaros ir būtiski samazināt invaliditātes ekspertīzei patērēto laiku,[10] jo komisija vienlaikus ar lēmuma par invaliditāti pieņemšanu vai pēc tam sniedz atzinumus, kas dod iespēju saņemt atvieglojumus un sociālos pakalpojumus no valsts un pašvaldībām. Piemēram, atzinumi medicīniskajām indikācijām vieglā automobiļa speciālai pielāgošanai un pabalsta saņemšanai transporta izdevumu kompensēšanai, atzinumi par pavadoņa pakalpojuma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2021. gadā izsniegti 44 745 atzinumi[11]. Jāatzīmē, ka izsniegto atzinumu skaits periodā no 2018. – 2021. gadam pieaug. Izsniegto atzinumu skaita pieaugums saistāms ar iespējām personai iegūt sociālo un finansiālo atbalstu, turklāt persona var lūgt atzinumu izsniegt jau esot invaliditātes statusā, pamatojoties uz jauniem izmeklējumu datiem, kas arī veido palielinātu izsniegto atzinumu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pieprasījumam pēc komisijas sniegtiem pakalpojumiem, arvien aktuālāks kļūst komisijas veiktspējas stiprināšanas aspekts. Tāpat arī komisijas stratēģijā noteiktās prioritātes un mērķi ir vērsti uz iestādes darbības jomu pilnveidi, darbinieku lietpratības attīstību un klientorientētu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https://likumi.lv/ta/lv/starptautiskie-ligumi/id/1630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https://tbinternet.ohchr.org/_layouts/15/treatybodyexternal/SessionDetails1.aspx?SessionID=1158&amp;Lang=en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Apstiprinātas ar 2021. gada 1. septembra MK rīkojumu Nr. 616. https://likumi.lv/ta/id/325828-par-socialas-aizsardzibas-un-darba-tirgus-politikas-pamatnostadnem-2021-2027-gadam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[4]Apstiprināta ar labklājības ministra 2021. gada 11. maija rīkojumu Nr. LM21-10/7-2021. https://www.vdeavk.gov.lv/lv/media/395/download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https://data.gov.lv/dati/lv/dataset/vdeavk-pilngad-pers-ar-invaliditati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https://data.gov.lv/dati/lv/dataset/berni-ar-invaliditati-adm-ter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Sk. https://likumi.lv/ta/id/325492-par-planu-personu-ar-invaliditati-vienlidzigu-iespeju-veicinasanai-20212023-gadam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Komisijas 2021. gada pārskats  https://www.vdeavk.gov.lv/lv/media/900/download?attachment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Komisijas 2020.g. pārskats : https://www.vdeavk.gov.lv/lv/media/459/download?attachment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 personu iesniegumu par invaliditātes ekspertīzi izskatīšanai patērēto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Personai vienlaicīgi var tikt izsniegti vairāki dažāda veida atzinumi. Komisijas 2021. gada pārskats  https://www.vdeavk.gov.lv/lv/media/900/download?attachment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Efektīva prognozējamas invaliditātes un invaliditātes ekspertīzes procesa īstenošana, kā arī kvalitatīva pakalpojuma sniegšana personām ar invaliditāti  nav iespējama bez sistēmiskas, kompleksas un pastāvīgas pieejas komisijas nodarbināto profesionālo spēju uzturēšanā un attīstībā. Bez komisijas nodarbināto veiktspējas pastāvīgas stiprināšanas nav iespējams uzlabot komisijas kā komandas darba kvalitāti, pilnveidot nodarbināto zināšanas, kas nepieciešamas efektīvai un profesionālai prognozējamas invaliditātes un invaliditātes ekspertīzes procesa īstenošanai (tai skaitā nodrošinot vienveidīgu invaliditātes noteikšanas kritēriju piemērošanu, izsvērtu un kvalitatīvu lēmumu pieņemšanu un noformēšanu), kā arī celt iestādes prestižu un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būtiska problēma jāmin normatīvajos aktos noteikto invaliditātes kritēriju vispārīgais definējums, kas, ja netiek nodrošināta vienota komisijas darbinieku izpratne, var radīt interpretācijas iespējas to piemērošanā. Vienotas izpratnes komisijas nodarbināto profesionālajā darbībā nodrošināšanai nepieciešama  vienotu metodisko norādījumu izstrāde, esošo skaidrojumu pilnveide un pastāvīga to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stratēģijā kā viens no mērķiem ir noteikts apstrīdēto komisijas vadītāja lēmumu īpatsvara (vērtējot pret visiem lēmumiem) samazinājums, kas liecina, ka šobrīd tas tiek vērtēts kā augsts. Komisijas amatpersonu izdotos administratīvos aktus vai faktisko rīcību var apstrīdēt komisijas vadītājam. Šādā situācijā lieta tiek vērtēta atkārtoti. Komisijas vadītāja lēmumu var pārsūdzēt tiesā. 2020. gadā apstrīdēto lēmumu īpatsvars veidoja 1, 5% (jeb 2280 apstrīdēšanas kārtībā izskatīti lēmumi no visiem 153 851 gadā pieņemtajiem lēmumiem), 2020. gadā apstrīdēto lēmumu īpatsvars veidoja 1, 5% (jeb 2280 apstrīdēšanas kārtībā izskatīti lēmumi no visiem 153 851 gadā pieņemtajiem lēmumiem)[12] un 2021.gadā elektroniski saņemto iesniegumu invaliditātes ekspertīzei un invaliditātes ekspertīzes lēmumu apstrīdēšanas iesniegumu īpatsvars veidoja 5, 41% no kopējā iesniegumu skaita[12]. Iepriekš minētais liecina par nepieciešamību pilnveidot komisijas nodarbināto zināšanas tiesiski korektu lēmumu pieņemšanā/ sagatavošanā, argumentācijas prasmju pilnveidošanai lēmumu apstrīdēšanas gadījumā, labākās tiesu prakses analīzei u.c.  Gadījumā, ja netiks veikti pilnveidojumi komisijas nodarbināto profesionālo spēju uzturēšanā un attīstībā, tai skaitā, ja netiks veikta komisijas kā komandas darba pilnveide, var pieaugt komisijas klientu neapmierinātība ar saņemtajiem pakalpojumiem. Iepriekš minētais ietekmē personu dzīves kvalitāti kopumā, jo no komisijas pieņemto lēmumu un atzinumu ātruma nereti atkarīgs arī personai ar invaliditāti paredzētais citu valsts un pašvaldību pakalpojumu saņemšanas laiks. Komisijas sniegtā pakalpojuma ietvaros ir būtiski nodrošināt invaliditātes ekspertīzei patērētā laika samazinājumu[14].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Identificēts, ka Invaliditātes informatīvās sistēmas (turpmāk – IIS) analītiskā funkcionālitāte ir nepietiekama, lai nodrošinātu komisijas darbības efektivizāciju. Šobrīd nav iespēju operatīvi veikt kompleksu un pastāvīgu komisijas darba procesu analīzi. Tā pat komisijas darbības kvalitātes nodrošināšanai iztrūkst plānveidīgi un pastāvīgi aktualizēti organizācijas darbības procesi, pakalpojumu standarti u.tml. Lai sniegtu operatīvu atbalstu komisijas klientiem, ir nepieciešama komisijas darbības un rādītāju padziļināta analīze, tai skaitā sistēmiska datu kodēšana par prevalējošiem funkcionēšanas ierobežojumiem, piemēram, funkcionēšanas ierobežojumu faktoru ietekmi uz personas dzīvi un pakalpojumu nepieciešamību, saslimšanas cēloņu un funkcionēšanas traucējumu sasaiste, preventīvu rīcību analīze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minēts iepriekš, pēdējo gadu dati liecina arī par bērnu ar invaliditāti skaita pieaugošu tendenci. Šobrīd bērniem ar invaliditāti līdz 18 gadu vecumam invaliditāti nosaka bez iedalījuma grupās. ES fondu 2014. – 2020. gada plānošanas periodā darbības programmas “Izaugsme un nodarbinātība” 9.1.4. specifiskā atbalsta mērķa “Palielināt diskriminācijas riskiem pakļauto iedzīvotāju integrāciju sabiedrībā un darba tirgū” 9.1.4.3. pasākuma “Invaliditātes ekspertīzes pakalpojuma kvalitātes uzlabošana” komisijas īstenotā projekta Nr. 9.1.4.3/16/I/001 “Bērnu invaliditātes noteikšanas sistēmas pilnveide” (turpmāk – projekts Nr. 9.1.4.3/16/I/001) ietvaros tika izstrādāta invaliditātes noteikšanas metodika personām līdz 18 gadu vecumam (neieskaitot). Projekta Nr. 9.1.4.3/16/I/001 ietvaros paveiktais ir vērtējams pozitīvi, jo,  lai pilnveidotu invaliditātes noteikšanas sistēmu bērniem, izstrādāta mūsdienīga, starptautiskajai praksei atbilstoša invaliditātes noteikšanas metodika “Metodika Starptautiskās funkcionēšanas nespējas un veselības klasifikācijas bērnu un jauniešu versijas principu piemērošanai invaliditātes noteikšanas procesā bērniem līdz 18 gadu vecumam (neieskaitot)” (turpmāk – metodika). Jaunā pieeja priekšplānā virza funkcionēšanas ierobežojumu pakāpi ne tikai invaliditātes statusa piešķiršanai, bet arī citu lēmumu pieņemšanai, kas var ietekmēt bērnu ar invaliditāti ikdienu invaliditātes seku mazināšanai. Minēto pieeju pamato arī MK  2021.gada 17. augusta rīkojumā Nr. 577 “Par Plānu personu ar invaliditāti vienlīdzīgu iespēju veicināšanai 2021.–2023. gadam”[15] norādītais, ka bērniem līdz 18 gadu vecumam (neieskaitot) invaliditāte tiek noteikta bez iedalījuma grupās. Vienlaikus kā kritērijs ir dominējis un turpina dominēt veselības traucējums un tā izpausmes orgānu sistēmu līmenī. Tieši šī iemesla dēļ rodas pretrunas, piemēram, novērtējot (izvērtējot) medicīniskās indikācijas īpašas kopšanas nepieciešamībai, kuru (medicīnisko indikāciju) kritēriji būtiski mainās, personai sasniedzot 18 gadu vecumu – no diagnozes kā tādas (bērnu gadījumā) uz tās radītajiem faktiskajiem funkcionēšanas ierobežojumiem (pieaugušajiem). Priekšnosacījums bērnu ar invaliditāti vajadzību noteikšanā ir nepieciešamība novērtēt, kuras funkcijas un cik lielā mērā ir traucētas. Šobrīd nav  salāgoti pieaugušā un bērna invaliditātes vērtēšanas kritēriji, tas nesekmē vienotu pieeju funkcionēšanas izvērtēšanā,  rada pretrunas laikā, kad bērns sasniedz pilngadību, jo tiek pielietota atšķirīga pieeja invaliditātes noteikšanā. Veicot grozījumus normatīvajos aktos par bērnu ar invaliditāti noteikšanas sistēmas izmaiņām, sekmīgai to īstenošanai praksē, tai skaitā analītiskās funkcijas nodrošināšanai, nepieciešams veikt pilnveidojumus IIS, lai nodrošinātu IIS atbilstību normatīvo aktu par bērnu ar invaliditāti noteikšanas sistēmas izmaiņām. Papildus  minētajam, informatīvajā ziņojumā “Latvijas Republikas apvienotais otrais un trešais ziņojums par Apvienoto Nāciju Organizācijas 2006.gada 13.decembra Konvencijas par personu ar invaliditāti tiesībām ieviešanu Latvijas Republikā laikposmā no 2017. gada 1. janvāra līdz 2019. gada 31. decembrim”[16], saistībā ar ES fondu īstenoto atbalstu (projekts Nr. 9.1.4.3/16/I/001), 29. punktā kā ANO Personu ar invaliditāti tiesību komitejas rekomendācija minēts, ka turpmākajos gados viens no primāriem uzdevumiem invaliditātes noteikšanas sistēmas pilnveidošanai ir atbilstošāko  risinājumu izvēle, lai salāgotu pieaugušā un bērna invaliditātes vērtēšanas kritērijus, nodrošinot vienotu pieeju funkcionēšanas izvērtēšanā un neradītu pretrunas laikā, kad bērns sasniedz pilngadību un tiek pielietota atšķirīga pieeja invaliditātes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Nereti sabiedrībā ir iesīkstējuši, vecmodīgi priekšstati par invaliditātes ekspertīzes procesiem, par to, kā tiek pieņemts lēmums invaliditātes statusa noteikšanai. Komisijas stratēģijā ir identificētas komisijas klientu intereses saistībā ar profesionāli sniegtas atbilstošas informācijas, kā arī  viegli uztveramā veidā nodrošināta pakalpojuma saņemšanu. Vienlaikus komisijas stratēģijā ir identificēta problēma saistībā ar komisijai pieejamās dokumentāras informācijas nepietiekamību funkcionālo traucējumu  izvērtēšanai un invaliditātes ekspertīzes veikšanai, kas, savukārt, ir saistīts ar invaliditātes ekspertīzei iesniegto dokumentu kvalitāti. Komisijas klientu interešu apmierināšana, kā arī norādītās problēmas risinājums panākams, tai skaitā ar sabiedrības izpratnes veicināšanu par komisijas sniegtajiem pakalpojumiem, aktuālajiem jautājumiem, stereotipu mazināšanu u.tml. Minēto pamato arī anotācijas sadaļā, kurā aprakstīta pašreizējā situācija, minētais Pasaules Bankas[17] ziņojums. Ziņojumā identificēts, ka Latvijā invaliditātes noteikšanā un atbalsta pasākumu piešķiršanā nepieciešams attīstīt integrētu pieeju – klients ir centrā un visas iesaistītās institūcijas un visi personai pienākošies atbalsta mehānismi ir vērsti uz kopēju mērķi – personas funkcionēšanas spēju atjaunošanu. Tāpat Pasaules Bankas rekomendācijās uzsvērts, ka invaliditātes noteikšanas procesā nav piešķirta pietiekama nozīme personas individuālo vajadzību novērtējumam, tai skaitā nepieciešams uzlabot konsultāciju saturu par to, kādi pakalpojumi personām ir pieejami,  kā tiem pieteikties, vienlaikus veicinot elektronisku datu apmaiņu. Ņemot vērā minēto, ir identificēts, ka pašlaik nav vienotas informācijas, pamatojoties uz kuru komisijas speciālisti (konsultanti) sniedz informāciju personām par tālākām rīcībām/ tiesībām/ pienākumiem/ pakalpojumiem/ atbalsta pasākumiem u.tml. pēc invaliditātes noteikšanas vai jau esošas invaliditātes gadījumā, arī, kad bērns ar invaliditāti kļūst pilngadīgs. Gadījumos, kad notiek pāreja  no bērna ar invaliditāti uz pieaugušas personas ar invaliditāti statusu (jaunietim sasniedzot pilngadību), ir svarīgi skaidrot informāciju par iesniedzamajiem dokumentiem invaliditātes ekspertīzei un to iesniegšanas kārtību (procesu), par izmaiņām invaliditātes noteikšanā, tostarp, invaliditātes grupas atbilstību invaliditātes smaguma pakāpei, par izmaiņām pieejamajā valsts atbalstā (gan finansiālā, gan pakalpojumu veidā) invaliditātes seku mazināšanai, kā arī par iespējām uzzināt sev nepieciešamo informāciju par jautājumiem, kas ir saistīti ar invaliditāti. Neīstenojot  4.3.6.2. pasākuma ietvaros plānotās atbalstāmās darbības, netiks paaugstināta komisijas darbinieku veiktspēja, lai veidotu izpratni par vienotu  kritēriju piemērošanu ekspertīzes veikšanas un lēmumu pieņemšanas procesā, nepieaugs vispārējā izpratne par kvalitatīva lēmuma pieņemšanu un mērķēta pakalpojuma sniegšanu, kas nodrošina tiešu un pozitīvu ietekmi uz iedzīvotāju iespējām saņemt nepieciešamo pakalpojumu un atbalstu iestājoties invaliditātes riskam. Ikdienā komisijas darbinieki, t.i. gan klientu apkalpošanas speciālisti, gan ārsti eksperti strādā ar personām, kas ir ļoti atšķirīgas pēc vecuma, dzimuma, reģionālās piederības, funkcionālajām spējām, materiālās nodrošinātības, tāpēc, ja netiks stiprināta komisijas nodarbināto kapacitāte,  profesionalitāte un spēja pielāgoties pārmaiņām un izaicinājumiem, tiks negatīvi ietekmēta arī kvalitatīva klientu apkalpošana, invaliditātes ekspertīzes veikšana un savlaicīga lēmuma pieņemšana. Netiks nodrošināta pēctecīga  invaliditātes rīcībpolitikas pilnveidošana valstiskā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Komisijas 2020.g. pārskats : https://www.vdeavk.gov.lv/lv/media/459/download?attachment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Komisijas 2021.g. pārskats: https://www.vdeavk.gov.lv/lv/media/900/download?attachment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 laika samazinājumu personu iesniegumu par invaliditātes ekspertīzi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https://likumi.lv/ta/id/325492-par-planu-personu-ar-invaliditati-vienlidzigu-iespeju-veicinasanai-20212023-gadam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http://polsis.mk.gov.lv/documents/7158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Skatīt https://likumi.lv/ta/id/325492-par-planu-personu-ar-invaliditati-vienlidzigu-iespeju-veicinasanai-20212023-gadam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darbības stratēģijas prioritātes un mērķi ir vērsti uz iestādes darbības jomu pilnveidošanu, veiktspējas stiprināšanu, kas ietver arī darbinieku lietpratības attīstību un klientorientētu pakalpojumu sniegšanu. Vienota pieeja ir darbinieku kompetentas un profesionālas rīcības, tai skaitā invaliditātes ekspertīzes veikšanas pamatā. Vienota pieeja raksturo komisijas darba produktivitāti, efektivitāti un spēju iespējami īsākā laikā reaģēt uz pārmaiņām, pielāgoties tām. Atbilstoši komisijas 2021. gada pārskatā minētajam[17], faktiskais vidējais komisijas nodarbināto skaits bija 116,7 personas, tai skaitā 37,6 civildienesta ierēdņi un 83,7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programmas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(turpmāk – 4.3.6.2. pasākums) pasākuma ietvaros plānots pilnveidot komisijas nodarbināto profesionālās prasmes, tai skaitā ārstu profesionālās zināšanas invaliditātes noteikšanas jomā, pilnveidot IIS procesus atbilstoši plānotajām izmaiņām  normatīvajos aktos par bērnu ar invaliditāti noteikšanas sistēmas izmaiņām un uzlabot personu ar invaliditāti vai funkcionēšanas ierobežojumiem izpratni par sniegtajiem pakalpojumiem un pieejamo atbalstu invaliditātes gadījumā. Līdz ar to tiks paaugstināta pakalpojumu sniegšanas efektivitāte un kvalitāte personām ar invaliditāti vai funkcionēšanas ierobežojumiem, vienlaikus samazinot personas iesnieguma izskatīšanai un invaliditātes ekspertīzei patērēto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TA projekta vispārīgie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nosaka kārtību, kādā īsteno 4.3.6.2. pasākumu, nosaka tā mērķi, pasākumam plānoto un pieejamo finansējumu, prasības Eiropas Sociālā fonda Plus projekta (turpmāk – projekts) iesniedzējam un finansējuma saņēmējam, atbalstāmās darbības un sasniedzamos uzraudzības rādītājus, izmaksu attiecināmības nosacījumus un vienkāršoto izmaksu piemērošanas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4.3.6.2. pasākuma mērķis</w:t>
      </w:r>
      <w:r w:rsidR="00000000" w:rsidRPr="00000000" w:rsidDel="00000000">
        <w:rPr>
          <w:rtl w:val="0"/>
        </w:rPr>
        <w:t xml:space="preserve"> ir paaugstināt personu ar invaliditāti vai funkcionēšanas ierobežojumiem apkalpošanas efektivitāti un kvalitāti, komisijas nodarbināto profesionālās spējas, vienlaikus samazinot invaliditātes ekspertīzei patērēto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pasākumu paredzēts īstenot ierobežotas projektu iesniegumu atlases veidā, kā finansējuma saņēmēju nosakot komisiju (turpmāk – finansējuma saņēmējs). Komisija ir valsts pārvaldes iestāde, kura veic prognozējamās invaliditātes un invaliditātes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w:t>
      </w:r>
      <w:r w:rsidR="00000000" w:rsidRPr="00000000" w:rsidDel="00000000">
        <w:rPr>
          <w:b w:val="1"/>
          <w:i w:val="1"/>
          <w:rtl w:val="0"/>
        </w:rPr>
        <w:t xml:space="preserve">mērķa grupa</w:t>
      </w:r>
      <w:r w:rsidR="00000000" w:rsidRPr="00000000" w:rsidDel="00000000">
        <w:rPr>
          <w:rtl w:val="0"/>
        </w:rPr>
        <w:t xml:space="preserve"> ir komisijas ārsti, speciālisti, amatpersonas, atbalsta funkciju veicēji un citi darbinieki (turpmāk – mērķa grupa). Jāatzīmē, ka atbalstu saņems tikai mērķa grupas personas, kuras, saskaņā ar LM Personāla un dokumentu pārvaldības departamenta informāciju, ir nodarbinātas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pasākumam plānotais un pieejamais </w:t>
      </w:r>
      <w:r w:rsidR="00000000" w:rsidRPr="00000000" w:rsidDel="00000000">
        <w:rPr>
          <w:b w:val="1"/>
          <w:rtl w:val="0"/>
        </w:rPr>
        <w:t xml:space="preserve">kopējais attiecināmais finansējums ir 1 000 000 </w:t>
      </w:r>
      <w:r w:rsidR="00000000" w:rsidRPr="00000000" w:rsidDel="00000000">
        <w:rPr>
          <w:b w:val="1"/>
          <w:i w:val="1"/>
          <w:rtl w:val="0"/>
        </w:rPr>
        <w:t xml:space="preserve">euro</w:t>
      </w:r>
      <w:r w:rsidR="00000000" w:rsidRPr="00000000" w:rsidDel="00000000">
        <w:rPr>
          <w:i w:val="1"/>
          <w:rtl w:val="0"/>
        </w:rPr>
        <w:t xml:space="preserve">,</w:t>
      </w:r>
      <w:r w:rsidR="00000000" w:rsidRPr="00000000" w:rsidDel="00000000">
        <w:rPr>
          <w:rtl w:val="0"/>
        </w:rPr>
        <w:t xml:space="preserve"> tai skaitā Eiropas Sociālā fonda Plus finansējums – 850 000 </w:t>
      </w:r>
      <w:r w:rsidR="00000000" w:rsidRPr="00000000" w:rsidDel="00000000">
        <w:rPr>
          <w:i w:val="1"/>
          <w:rtl w:val="0"/>
        </w:rPr>
        <w:t xml:space="preserve">euro</w:t>
      </w:r>
      <w:r w:rsidR="00000000" w:rsidRPr="00000000" w:rsidDel="00000000">
        <w:rPr>
          <w:rtl w:val="0"/>
        </w:rPr>
        <w:t xml:space="preserve"> un valsts budžeta līdzfinansējums – 150 000 </w:t>
      </w:r>
      <w:r w:rsidR="00000000" w:rsidRPr="00000000" w:rsidDel="00000000">
        <w:rPr>
          <w:i w:val="1"/>
          <w:rtl w:val="0"/>
        </w:rPr>
        <w:t xml:space="preserve">euro</w:t>
      </w:r>
      <w:r w:rsidR="00000000" w:rsidRPr="00000000" w:rsidDel="00000000">
        <w:rPr>
          <w:rtl w:val="0"/>
        </w:rPr>
        <w:t xml:space="preserve">.  Atbalsta veids ir </w:t>
      </w:r>
      <w:r w:rsidR="00000000" w:rsidRPr="00000000" w:rsidDel="00000000">
        <w:rPr>
          <w:b w:val="1"/>
          <w:i w:val="1"/>
          <w:rtl w:val="0"/>
        </w:rPr>
        <w:t xml:space="preserve">grants.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ietvaros elastības finansējums nav plānots, attiecināmā daļa programmas 4.3.6.2. pasākumam paredzētajā apmērā (157 775 </w:t>
      </w:r>
      <w:r w:rsidR="00000000" w:rsidRPr="00000000" w:rsidDel="00000000">
        <w:rPr>
          <w:i w:val="1"/>
          <w:rtl w:val="0"/>
        </w:rPr>
        <w:t xml:space="preserve">euro</w:t>
      </w:r>
      <w:r w:rsidR="00000000" w:rsidRPr="00000000" w:rsidDel="00000000">
        <w:rPr>
          <w:rtl w:val="0"/>
        </w:rPr>
        <w:t xml:space="preserve">) tiks kompensēta nosakot elastību programmas 4.3.3.1. pasākuma “Bezdarbnieku, darba meklētāju un bezdarba riskam pakļauto personu kvalifikācijas un prasmju paaugstināšana” ietvaros 28 772 500 </w:t>
      </w:r>
      <w:r w:rsidR="00000000" w:rsidRPr="00000000" w:rsidDel="00000000">
        <w:rPr>
          <w:i w:val="1"/>
          <w:rtl w:val="0"/>
        </w:rPr>
        <w:t xml:space="preserve">euro</w:t>
      </w:r>
      <w:r w:rsidR="00000000" w:rsidRPr="00000000" w:rsidDel="00000000">
        <w:rPr>
          <w:rtl w:val="0"/>
        </w:rPr>
        <w:t xml:space="preserve"> apmērā un programmas 4.3.3.2. pasākuma “Nelabvēlīgākā situācijā esošu bezdarbnieku un ekonomiski neaktīvo iedzīvotāju iekļaušanās darba tirgū sekmēšana” ietvaros 11 900 000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w:t>
      </w:r>
      <w:r w:rsidR="00000000" w:rsidRPr="00000000" w:rsidDel="00000000">
        <w:rPr>
          <w:b w:val="1"/>
          <w:i w:val="1"/>
          <w:rtl w:val="0"/>
        </w:rPr>
        <w:t xml:space="preserve">īstenošanas laiks ir 2022. gada II ceturksnis līdz 2029. gada IV ceturksnis</w:t>
      </w:r>
      <w:r w:rsidR="00000000" w:rsidRPr="00000000" w:rsidDel="00000000">
        <w:rPr>
          <w:rtl w:val="0"/>
        </w:rPr>
        <w:t xml:space="preserve">, tas tiks īstenots aptverot visu Latvijas teritoriju. Komisija, iesniedzot projekta iesniegumu Centrālai finanšu un līgumu aģentūrai (turpmāk – CFLA), var noteikt citu projekta darbību īstenošanas termiņu, kas nepārsniedz 2029.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ietvaros izmaksas ir attiecināmas, ja tās atbilst TA projektā minētajām izmaksu pozīcijām un ir radušās ne agrāk par 2022. gada 1. jūniju.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4.3.6.2. pasākuma ietvaros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2024. gada 31. decembrim  – programmas starpposma iznākuma rādītājs – nacionāla, reģionāla vai vietēja mēroga valsts administrācijas vai sabiedrisko pakalpojumu iestāžu un pakalpojumu skaits, kas saņēmuši atbalstu – 1. Rādītājs tiks uzskatīts par sasniegtu, kad tiks apstiprināts projekta iesniegums un noslēgta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programmas iznākuma rādītājs – nacionāla, reģionāla vai vietēja mēroga valsts administrācijas vai sabiedrisko pakalpojumu iestāžu un pakalpojumu skaits, kas saņēmuši atbalstu – 1 (izpildoties 1. punktā minētajam programmas starpposma iznākuma rādītājam, izpildīts ir arī šajā apakšpunktā minētais programmas iznākuma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nacionālais iznākuma rādītājs – pilnveidoto informācijas sistēmu skaits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programmas rezultāta rādītājs – invaliditātes ekspertīzei patērētā laika samazinājums – līdz 22,92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šajā rādītājā tiks ieskaitīts iesnieguma par invaliditātes ekspertīzi vidējā izskatīšanas ilguma samazinājums, salīdzinot pret 2019. gadu – tiek plānots, ka tas samazināsies vidēji par sešām dienām. 2019. gadā iesnieguma par invaliditātes ekspertīzi vidējais izskatīšanas ilgums veidoja 28, 92 dienas, 2020. gadā – 24,17 dienas un 2021. gadā 23,74 dienas. Tādējādi 2021. gadā (salīdzinot ar 2019. un 2020. gadu)  iesnieguma par invaliditātes ekspertīzi izskatīšanas ilgums ir samazinājies vidēji par piecām dienām. Pieņemot, ka projektā īstenoto pasākumu rezultātā iesnieguma par invaliditātes ekspertīzi izskatīšanai nepieciešamā laika samazinājuma temps saglabāsies līdzšinējā līmenī, tiek prognozēts, ka līdz 2024. gada 31. decembrim iesnieguma par invaliditātes ekspertīzi izskatīšanas ilgums samazināsies kopumā vidēji par sešām dienām, salīdzinot ar 2019. gadu, un tas veidos vidēji 22,92 dienas</w:t>
      </w:r>
      <w:r w:rsidR="00000000" w:rsidRPr="00000000" w:rsidDel="00000000">
        <w:rPr>
          <w:b w:val="1"/>
          <w:i w:val="1"/>
          <w:rtl w:val="0"/>
        </w:rPr>
        <w:t xml:space="preserve">. </w:t>
      </w:r>
      <w:r w:rsidR="00000000" w:rsidRPr="00000000" w:rsidDel="00000000">
        <w:rPr>
          <w:rtl w:val="0"/>
        </w:rPr>
        <w:t xml:space="preserve"> Pieņēmumi balstīti uz datiem komisijas publiskajos pārskatos[18].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Sasniedzamā nacionāla iznākuma rādītāja vērtība (1) noteikta, pieņemot, ka projekta ietvaros tiks pilnveidota viena IIS, veicot nepieciešamos papildinājumus atbilstoši normatīvo aktu par bērnu invaliditāti noteikšanas sistēmas izmaiņām un papildinot ar datu analītikas moduli komisijas procesu un analītikas funkcijas attīstības pilnveidošanai. Rādītāja sasniegšanai finansējums netiek atsevišķi izdalīts, ņemot vērā, ka rādītājs ir daļa no programmas rādītāja “Nacionāla, reģionāla vai vietēja mēroga valsts administrācijas vai sabiedrisko pakalpojumu iestādes, kas saņēmušas atbalstu”. Rādītājs tiks uzskatīts par sasniegtu, kad apstiprināts nodošanas un pieņemšanas akts un veikti gala maksājumi atbilstoši noslēgtajiem līgumiem par IS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 rādītāja izpildi ir atbildīga komisija, par rādītāja izpildi tā ziņos, iesniedzot kārtējo maksājuma pieprasījumu Kohēzijas politikas fondu vadības informācijas sistēmā (turpmāk – KPVIS). Dati tiks uzkrāti KPVIS, to izpildes uzraudzību veiks CFLA kopējā projekta uzraudzības procesā, ja nepieciešams, minēto vērtējot izlases veidā pārbaudēs pie finansējuma saņēmēja. Ņemot vērā, ka pasākumam programmā noteiktais programmas rādītājs ir vispārīgs, neatspoguļo projekta tvērumu, LM ir noteikusi nacionālo rādītāju, kas uzkrājams un uzraugāms, lai vērtētu kopējo projekta 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ietvaros paredzētas </w:t>
      </w:r>
      <w:r w:rsidR="00000000" w:rsidRPr="00000000" w:rsidDel="00000000">
        <w:rPr>
          <w:b w:val="1"/>
          <w:i w:val="1"/>
          <w:rtl w:val="0"/>
        </w:rPr>
        <w:t xml:space="preserve">tiešās attiecināmās un netiešās attiecināmās izmaksas.</w:t>
      </w:r>
      <w:r w:rsidR="00000000" w:rsidRPr="00000000" w:rsidDel="00000000">
        <w:rPr>
          <w:b w:val="1"/>
          <w:i w:val="1"/>
          <w:rtl w:val="0"/>
        </w:rPr>
        <w:t xml:space="preserve">Tiešās attiecināmās izmaksas ietver šādas galvenās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w:t>
      </w:r>
      <w:r w:rsidR="00000000" w:rsidRPr="00000000" w:rsidDel="00000000">
        <w:rPr>
          <w:rtl w:val="0"/>
        </w:rPr>
        <w:t xml:space="preserve">līdz atbildīgās iestādes izstrādātās vienotās likmes un tās piemērošanas metodikas personāla atlīdzības izmaksām (turpmāk – personāla izmaksu metodika) apstiprināšanai (tiks izstrādāta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 panta 3. punkta a apakšpunktu (turpmāk ­ – Regula 2021/1060)),</w:t>
      </w:r>
      <w:r w:rsidR="00000000" w:rsidRPr="00000000" w:rsidDel="00000000">
        <w:rPr>
          <w:b w:val="1"/>
          <w:rtl w:val="0"/>
        </w:rPr>
        <w:t xml:space="preserve"> finansējuma saņēmēja projekta vadības un  īstenošanas personāla atlīdzības izmaksas</w:t>
      </w:r>
      <w:r w:rsidR="00000000" w:rsidRPr="00000000" w:rsidDel="00000000">
        <w:rPr>
          <w:rtl w:val="0"/>
        </w:rPr>
        <w:t xml:space="preserve">, atbilstoši Valsts un pašvaldību institūciju amatpersonu un darbinieku atlīdzības likumā noteiktajam, izņemot virsstundas. Ja personāla iesaiste projektā ir nodrošināta saskaņā ar daļlaika izmaksu attiecināmības principu, attiecināma ir ne mazāk kā 30 procentu noslodze no normāla darba laika. Pēc personāla izmaksu metodikas apstiprināšanas, finansējuma saņēmēja projekta vadības un īstenošanas personāla atlīdzības izmaksas, tai skaitā veselības apdrošināšanas izmaksas un redzes korekcijas līdzekļu kompensācijas izmaksas, segs, piemērojot personāla izmaksu metodikā noteikto likmi, ko aprēķina no pārējām tiešajām attiecināmajām izmaksām, kas nav tiešās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iepirkumu līgumu izmaksas.</w:t>
      </w:r>
      <w:r w:rsidR="00000000" w:rsidRPr="00000000" w:rsidDel="00000000">
        <w:rPr>
          <w:rtl w:val="0"/>
        </w:rPr>
        <w:t xml:space="preserve"> Ar iepirkumu līgumiem 4.3.6.2. pasākumā saprot: iepirkumu līgumus, kuriem piemēro Publisko iepirkumu likuma (turpmāk – PIL) nosacījumus un arī tos līgumus, kuriem nepiemēro PIL nosacījumus. Iepirkumu līgumi šajā pasākumā ir pakalpojuma (tai skaitā uzņēmumu) līgumi un piegādes (tai skaitā pirkumu) līgumi (saskaņā ar PIL 1. panta 27. un 28. punktu). TA projekts paredz, ka 4.3.6.2. pasākuma ietvaros finansējuma saņēmējs publiskos iepirkumus veic saskaņā ar normatīvajiem aktiem publisko iepirkumu jomā, īstenojot konkurenci nodrošinošu, pārredzamu, atklātu, nediskriminējošu konkursa procedūru un, kur tas ir attiecināms īsteno sociāli atbildīgus iepirkumus [19] un inovatīvus iepirkumus[20] (ja nepieciešams, dokumentējot un pamatojot sociāli atbildīga iepirkuma īstenošanas izvēli atbilstoši sadarbības iestādes horizontālajām norādēm projekta īstenošanā un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iekšzemes komandējumu un darba braucienu izmaksas</w:t>
      </w:r>
      <w:r w:rsidR="00000000" w:rsidRPr="00000000" w:rsidDel="00000000">
        <w:rPr>
          <w:rtl w:val="0"/>
        </w:rPr>
        <w:t xml:space="preserve"> finansējuma saņēmēja projekta vadības un īstenošanas personālam. Iekšzemes komandējumu un darba (dienesta) braucienu izmaksām piemēro Finanšu ministrijas izstrādāto metodiku “Vienas vienības izmaksu standarta likmes aprēķina un piemērošanas metodika 1 km izmaksām darbības programmas “Izaugsme un nodarbinātība” un Eiropas Savienības kohēzijas politikas programmas 2021.–2027. gadam  īstenošanai” un metodiku “Vienas vienības izmaksu standarta likmes aprēķina un piemērošanas metodika iekšzemes komandējumu izmaksām darbības programmas “Izaugsme un nodarbinātība” īstenošanai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personāla izmaksu metodikas apstiprināšanai normatīvajos aktos par kārtību, kādā veicama obligātā veselības pārbaude paredzēto </w:t>
      </w:r>
      <w:r w:rsidR="00000000" w:rsidRPr="00000000" w:rsidDel="00000000">
        <w:rPr>
          <w:b w:val="1"/>
          <w:rtl w:val="0"/>
        </w:rPr>
        <w:t xml:space="preserve">veselības pārbaužu izmaksas un redzes korekcijas līdzekļu kompensācija</w:t>
      </w:r>
      <w:r w:rsidR="00000000" w:rsidRPr="00000000" w:rsidDel="00000000">
        <w:rPr>
          <w:rtl w:val="0"/>
        </w:rPr>
        <w:t xml:space="preserve"> finansējuma saņēmēja projekta vadības un īstenošanas personālam, ja tās nav iekļautas veselības apdrošināšanas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TA projekts paredz, ka </w:t>
      </w:r>
      <w:r w:rsidR="00000000" w:rsidRPr="00000000" w:rsidDel="00000000">
        <w:rPr>
          <w:b w:val="1"/>
          <w:rtl w:val="0"/>
        </w:rPr>
        <w:t xml:space="preserve">iepirkumu līgumu ietvaros var paredzēt arī izmaksas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personāla izmaksu metodikas apstiprināšanai veselības apdrošināšanai finansējuma saņēmēja projekta vadības un īstenošanas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proporcionāli atlīdzības procentuālajam sadalījumam. Veselības apdrošināšanas izmaksas ir attiecināmas tikai laikposmā, kad personāls ir nodarbināts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vietas aprīkojuma iegādei vai nomai, tai skaitā aprīkojuma uzturēšanai un remontam, finansējuma saņēmēja projekta vadības un īstenošanas personālam jaunu darba vietu radīšanai vai esošo darba vietu atjaunošanai var paredzēt ne vairāk kā 3 000 euro apmērā 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 Paredzot darba vietas aprīkojuma izmaksas, tiks ievērots Vadlīniju Nr.1.2. “Vadlīnijas attiecināmo izmaksu noteikšanai Eiropas Savienības kohēzijas politikas programmas 2021. – 2027.gada plānošanas periodā” 33. punktā noteiktais [21], tai skaitā ņemts vērā nodarbinātā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iepirkuma tehniskās specifikācijas izstrādei IIS pilnveides ietvaros, ievērojot, ka komisijas personālam var nebūt pietiekama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Netiešās attiecināmās izmaksas</w:t>
      </w:r>
      <w:r w:rsidR="00000000" w:rsidRPr="00000000" w:rsidDel="00000000">
        <w:rPr>
          <w:rtl w:val="0"/>
        </w:rPr>
        <w:t xml:space="preserve"> finansējuma saņēmējs plāno kā vienu izmaksu pozīciju, piemērojot netiešo izmaksu vienoto likmi 15 procentu apmērā no TA projektā  noteiktajām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“Vienkāršoto izmaksu piemērošanas iespējas 2021. – 2027. gada ES fondu plānošanas periodā”[22] kopējo secinājumu 4) punktā noteikts, ka vienkāršoto izmaksu piemērošanas lietderība un praktiskā iespējamība ir ierobežota pasākumos, kur, piemēram, valsts iestāde ir vienīgais finansējuma saņēmējs, kas tiek atbalstīts ierobežotas projektu atlases procesā. Ņemot vērā minēto un faktu, ka 4.3.6.2. pasākuma finansējuma saņēmējs ir komisija, kura organizēs pasākuma ietvaros paredzēto atbalstāmo darbību īstenošanu, papildu jau TA projektā minētajām, vienkāršoto izmaksu piemērošana šobrīd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(komisijas) līmenī nav identificētas komercdarbības atbalsta pazīmes, jo saskaņā ar Ministru kabineta 2011.gada 26. aprīļa noteikumiem Nr. 315 “Veselības un darbspēju ekspertīzes ārstu valsts komisijas nolikums” komisija ir tiešās valsts pārvaldes iestāde. Ievērojot minēto, komisija pasākumu īsteno valsts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TA projektā paredzētās atbalstāmās darbības, to īstenošanas pamatnosacījumi un indikatīvās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mācību programmu izstrāde, aprobēšana, pilnveidošana un īstenošana mērķa grupas personu profesionālo spēju un metodiskās vadības uzlabošanai</w:t>
      </w:r>
      <w:r w:rsidR="00000000" w:rsidRPr="00000000" w:rsidDel="00000000">
        <w:rPr>
          <w:rtl w:val="0"/>
        </w:rPr>
        <w:t xml:space="preserve"> (indikatīvās izmaksas 58 034 </w:t>
      </w:r>
      <w:r w:rsidR="00000000" w:rsidRPr="00000000" w:rsidDel="00000000">
        <w:rPr>
          <w:i w:val="1"/>
          <w:rtl w:val="0"/>
        </w:rPr>
        <w:t xml:space="preserve">euro</w:t>
      </w:r>
      <w:r w:rsidR="00000000" w:rsidRPr="00000000" w:rsidDel="00000000">
        <w:rPr>
          <w:rtl w:val="0"/>
        </w:rPr>
        <w:t xml:space="preserve">). Atbalstāmās darbības ietvaros finansējuma saņēmēja īstenošanas personāls un finansējuma saņēmēja izvēlēts pakalpojuma sniedzējs izstrādās, aprobēs un pilnveidos mērķa grupai paredzētos mācību moduļus: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komisijas darbības vispārīgiem jautājumiem atbalsta funkciju veikšanai. Komisijas atbalsta funkciju veicējiem (klientu apkalpošanas speciālisti, vecākie pārvaldes referenti, pārvaldes referenti un citi speciālisti, kas nav tieši iesaistīti ekspertīzes veikšanā) tiks izstrādāts aktuālajai situācijai atbilstošs mācību modulis, kas veicina profesionālo spēju pilnveidi vispārējos komisijas darbības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specifiskiem jautājumiem invaliditātes noteikšanas jomā. Komisijas nodarbinātajiem (vecākajiem ārstiem ekspertiem, vecākajiem ekspertiem, ārstiem ekspertiem u.c. nodarbinātajiem, kuri  ir tieši saistīti ar ekspertīžu nodrošināšanu komisijā) tiks izstrādāts mācību modulis par specifiskiem jautājumiem invaliditātes noteikšanas jomā, iekļaujot tēmas par konkrētu slimību (piemēram, onkoloģisko slimību) radītajiem funkcionēšanas ierobežojumiem un citas aktuālās tēmas, kuras tiks identificētas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izstrādās ieteikumus komisijas darbību procesiem un pakalpojumu standartiem.  Tiks pilnveidoti pakalpojumu standarti jeb klientu apkalpošanas standarts, standarts invaliditātes ekspertīzes veikšanai klātienē, apstrīdēto lēmumu izskatīšanas procesa standarts, kā arī tiks izstrādāta jauno darbinieku “ABC” jeb ievadprogramma.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komisijas procesu un analītiskās funkcijas attīstība</w:t>
      </w:r>
      <w:r w:rsidR="00000000" w:rsidRPr="00000000" w:rsidDel="00000000">
        <w:rPr>
          <w:rtl w:val="0"/>
        </w:rPr>
        <w:t xml:space="preserve">, tai skaitā analītiskās funkcionalitātes pilnveidošana IIS un tās pilnveide atbilstoši plānotajām izmaiņām normatīvajos aktos par bērnu invaliditātes noteikšanas kārtību (indikatīvās izmaksas 387 427 </w:t>
      </w:r>
      <w:r w:rsidR="00000000" w:rsidRPr="00000000" w:rsidDel="00000000">
        <w:rPr>
          <w:i w:val="1"/>
          <w:rtl w:val="0"/>
        </w:rPr>
        <w:t xml:space="preserve">euro</w:t>
      </w:r>
      <w:r w:rsidR="00000000" w:rsidRPr="00000000" w:rsidDel="00000000">
        <w:rPr>
          <w:rtl w:val="0"/>
        </w:rPr>
        <w:t xml:space="preserve">). Atbalstāmās darbības ietvaros finansējuma saņēmēja  izvēlēts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veiks komisijas funkciju un darbību rādītāju padziļinātu analīzi. Tiks veikts komisijas funkcionālais audits, tai skaitā izstrādāti ieteikumi komisijas darbības kvalitātes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veiks komisijas funkciju apkalpošanas procesu kvalitātes un efektivitātes ikgadējās novērtēšanas datu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izstrādās ieteikumus komisijas darbības kvalitātes pilnveidošanai, pilnveidos IIS analītisko funkcionalitāti, tai skaitā izveidos datu analītikas moduli, veiks IIS pilnveidošanu atbilstoši normatīvajam regulējumam par bērnu invaliditātes noteikšanas kārtību. Tiks pilnveidota IIS funkcionalitāte atbilstoši plānotajām izmaiņām tiesiskajā regulējumā par invaliditātes noteikšanu bērniem, lai nodrošinātu normatīvo aktu izpildi, invaliditātes ekspertīzes veikšanu un statistikas datu uzkrāšanu IIS par invaliditātes lēmumiem bērniem. Tiks izstrādāta IIS funkcionalitāte datu analītikas moduļiem, nodrošinot iespēju IIS uzkrātos datus analizēt pēc dažādiem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nodrošinās IIS lietotāju mācības komisijas nodarbinātajiem, kuri ikdienā lieto un administrē IIS, mācības un tiks papildināta IIS lietotāja rokasgrāmata un IIS administratora rokasgrāmata.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komisijas sniegto pakalpojumu uzlabošana, izstrādājot vienotu informācijas sniegšanas modeli par pieejamo atbalstu invaliditātes gadījumā </w:t>
      </w:r>
      <w:r w:rsidR="00000000" w:rsidRPr="00000000" w:rsidDel="00000000">
        <w:rPr>
          <w:rtl w:val="0"/>
        </w:rPr>
        <w:t xml:space="preserve">(indikatīvās izmaksas 93 000 </w:t>
      </w:r>
      <w:r w:rsidR="00000000" w:rsidRPr="00000000" w:rsidDel="00000000">
        <w:rPr>
          <w:i w:val="1"/>
          <w:rtl w:val="0"/>
        </w:rPr>
        <w:t xml:space="preserve">euro</w:t>
      </w:r>
      <w:r w:rsidR="00000000" w:rsidRPr="00000000" w:rsidDel="00000000">
        <w:rPr>
          <w:rtl w:val="0"/>
        </w:rPr>
        <w:t xml:space="preserve">). Atbalstāmās darbības ietvaros finansējuma saņēmēja izvēlēts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izstrādās metodiku vienotai informācijas sniegšanai par pieejamo atbalstu komisijas klientiem invaliditātes noteikšanas gadījumā. Tiks izstrādāta metodika komisijas klientu apkalpošanas speciālistiem, kas nodrošinās profesionālas, atbilstošas, viegli uztveramas informācijas sniegšanu par turpmāko atbalstu un rīcībām personai pēc invaliditātes noteikšanas;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īstenos  izmēģinājumprojektu  metodikas aprobēšanai un papildināšanai  komisijas Rīgas, Valmieras, Daugavpils, Jelgavas un Liepājas nodaļās. Indikatīvi izmēģinājumprojektā tiks iesaistīti 8 –10 klientu apkalpošanas speciālisti, kuri aicinās personas piedalītes izmēģinājumprojektā un atbilstoši izstrādātajai metodikai konsultēs par pieejamo atbalstu. Izmēģinājumprojektu īsteno ne ilgāk kā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izstrādās ieteikumus kompleksas pieejas attīstībai informācijas sniegšanā personām, kurām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sabiedrības izpratnes un informētības paaugstināšanas pasākumu īstenošana</w:t>
      </w:r>
      <w:r w:rsidR="00000000" w:rsidRPr="00000000" w:rsidDel="00000000">
        <w:rPr>
          <w:rtl w:val="0"/>
        </w:rPr>
        <w:t xml:space="preserve"> par aktualitātēm invaliditātes noteikšanas, darbspējas un funkcionēšanas ierobežojumu vērtēšanas procesā (indikatīvās izmaksas 68 727 </w:t>
      </w:r>
      <w:r w:rsidR="00000000" w:rsidRPr="00000000" w:rsidDel="00000000">
        <w:rPr>
          <w:i w:val="1"/>
          <w:rtl w:val="0"/>
        </w:rPr>
        <w:t xml:space="preserve">euro</w:t>
      </w:r>
      <w:r w:rsidR="00000000" w:rsidRPr="00000000" w:rsidDel="00000000">
        <w:rPr>
          <w:rtl w:val="0"/>
        </w:rPr>
        <w:t xml:space="preserve">).  Atbalstāmās darbības ietvaros finansējuma saņēmēja  izvēlēts pakalpojuma sniedzējs organizēs informatīvi izglītojošos pasākumus, tajā skaitā seminārus (piemēram, ģimenes ārstiem, sociālajiem darbiniekiem u.tml.), konferences, atvērto durvju dienas u.c., izstrādā un izplata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informācijas un publicitātes pasākumu īstenošana</w:t>
      </w:r>
      <w:r w:rsidR="00000000" w:rsidRPr="00000000" w:rsidDel="00000000">
        <w:rPr>
          <w:rtl w:val="0"/>
        </w:rPr>
        <w:t xml:space="preserve"> (indikatīvās izmaksas 1500 </w:t>
      </w:r>
      <w:r w:rsidR="00000000" w:rsidRPr="00000000" w:rsidDel="00000000">
        <w:rPr>
          <w:i w:val="1"/>
          <w:rtl w:val="0"/>
        </w:rPr>
        <w:t xml:space="preserve">euro</w:t>
      </w:r>
      <w:r w:rsidR="00000000" w:rsidRPr="00000000" w:rsidDel="00000000">
        <w:rPr>
          <w:rtl w:val="0"/>
        </w:rPr>
        <w:t xml:space="preserve">). Atbalstāmo darbību īsteno finansējuma saņēmēja vadības personāls, ja nepieciešams, piesaistot pakalpojuma sniedzēju. Plānots publicitātes pasākumu kopums, kurš ietvers sabiedrības informēšana par projekta īstenošanas gaitu, darbībām, sasniegtajiem rezultātiem un ESF Plus ieguldījumu projekta īstenošanā un mērķu sasniegšanā. Darbības ietvaros tiks nodrošināti informācijas un publicitātes pasākumi,  kas noteikti Regulas Nr. 2021/1060 47. un 50. pantā un ES fondu 2021. – 2027. gada un Atveseļošanas fonda komunikācijas un dizaina vadlīnijās. Īstenojot atbalstāmo darbību, tiks ievērotas publicitātes prasības atbilstoši normatīvajiem aktiem, kas nosaka kārtību, kādā Eiropas Savienības fondu vadībā iesaistītās institūcijas nodrošina šo fondu ieviešanu 2021.–2027.gada plānošanas periodā. Projekta īstenošanas vietā, izmēģinājumprojekta īstenošanas vietās, kā arī izglītojošo un citu publisko pasākumu norises vietās tiks izvietoti informatīvie plakāti, informējot sabiedrību par projekta īstenošanu, tai skaitā par ESF Plus ieguldījumu projekta īstenošanā un mērķu sasniegšanā. Komisijas tīmekļvietnē tiks publicēta aktuālā par plānotā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projekta vadība un īstenošana</w:t>
      </w:r>
      <w:r w:rsidR="00000000" w:rsidRPr="00000000" w:rsidDel="00000000">
        <w:rPr>
          <w:rtl w:val="0"/>
        </w:rPr>
        <w:t xml:space="preserve"> (indikatīvās izmaksas 341 742 </w:t>
      </w:r>
      <w:r w:rsidR="00000000" w:rsidRPr="00000000" w:rsidDel="00000000">
        <w:rPr>
          <w:i w:val="1"/>
          <w:rtl w:val="0"/>
        </w:rPr>
        <w:t xml:space="preserve">euro</w:t>
      </w:r>
      <w:r w:rsidR="00000000" w:rsidRPr="00000000" w:rsidDel="00000000">
        <w:rPr>
          <w:rtl w:val="0"/>
        </w:rPr>
        <w:t xml:space="preserve">). Pēc nepieciešamības tiks piesaistīti citi komisijas darbinieki, kas tiks finansēti no projekta netiešajām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ietvaros paredzēta projekta vadības un īstenošanas nodrošināšana. Projekta personāls nodrošinās projekta darbību plānošanu, ieviešanas uzraudzību un vadību projekta mērķa sasniegšanai. Indikatīvi plānotas 2,3 vadības personāla slodzes un 1,3 īstenošanas personāla slodzes, kopā – 3,6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Netiešās attiecināmās izmaksas projektā veido 49 570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Demarkācija un sinerģija ar citiem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finansējuma saņēmēja pienākumu nodrošināt, ka 4.3.6.2. pasākumā paredzētās atbalstāmās darbības un atbalsts mērķa grupai netiek finansēts vai līdzfinansēts, kā arī to nav plānots finansēt vai līdzfinansēt no citiem valsts, pašvaldības vai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īsteno Eiropas Reģionālā attīstības fonda (turpmāk – ERAF) projektu Nr. 2.2.1.1/19/I/004 „Invaliditātes ekspertīzes pakalpojumu kvalitātes uzlabošana” (turpmāk – ERAF projekts) (tiks īstenots līdz 2023. gada 6 decembrim). ERAF projekta ietvaros tiek optimizēti komisijas procesi, pilnveidota IIS un valsts pakalpojumu portālā Latvija.lv izvietotie komisijas e-pakalpojumi. IIS pilnveidojumi vērsti uz datu izsniegšanas veidu pielāgošanai iestādēm un privātpersonām, lai samazinātu lēmumu apstrīdēšanas gadījumus un veicinātu klientu apmierinātību ar komisijas pakalpojumiem, kā arī  samazinātu klientiem administratīvo slogu. Minētais paātrinās komisijas darbībai nepieciešamo datu saņemšanu, uzkrāšanu un apstrādi, kā arī nodrošinās procesu pārvaldības un darbības optimizāciju. 4.3.6.2. pasākumā paredzētās atbalstāmās darbības ietvaros tiks papildināta ERAF projekta ietvaros pilnveidotās IIS analītiskā funkcionalitāte, tai skaitā nodrošinot tās  atbilstību normatīvo aktu par bērnu ar invaliditāti noteikšanas sistēmas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komisijas īstenotā ERAF projekta ietvaros, gan 4.3.6.2. pasākuma projekta ievaros IIS pilnveidojumi ir sinerģiski un projektu īstenošanas periodi pārklājas, tomēr finanšu ieguldījumu mērķi nepārklājas.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vienu no demarkācijas un dubultfinansējuma riska novēršanas uzraudzības instrumentiem var izmantot Finanšu ministrijas izstrādāto Dubultfinansējuma riska kontroles matricu. Tā pat finansējuma saņēmējs nodrošina, ka  projektā sniegtais atbalsts mērķa grupai netiek finansēts vai līdzfinansēts, kā arī to nav plānots finansēt vai līdzfinansēt no citiem valsts, pašvaldības vai ārvalstu finanšu atbalsta instrumentiem, tai skaitā tiks nodrošināta pievienotās vērtības nodokļa dubultā finansējuma riska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4.3.6.2. pasākuma investīcijām būs tieša pozitīva ietekme uz horizontālo principu “Vienlīdzība, iekļaušana, nediskriminācija un pamattiesību ievērošana” </w:t>
      </w:r>
      <w:r w:rsidR="00000000" w:rsidRPr="00000000" w:rsidDel="00000000">
        <w:rPr>
          <w:rtl w:val="0"/>
        </w:rPr>
        <w:t xml:space="preserve">(skat. skaidrojumu anotācijas 8. punktā “Horizontālā ietekme”). Savukārt uz horizontālajiem principiem “Klimatdrošināšana”, “Energoefektivitāte pirmajā vietā” un “Nenodarīt būtisku kaitējumu” 4.3.6.2. pasākumam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4.3.6.2. pasākuma ESF plus investīcijām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158. intervences kods “Pasākumi, ar ko uzlabo vienlīdzīgu un savlaicīgu piekļuvi kvalitatīviem, ilgtspējīgiem un cenas ziņā pieejamiem pakalpojumiem”, atbilstoši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veids: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teritoriālie sasniegšanas mehānismi: 33, bez teritoriālā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ESF Plus sekundārās tēmas: 09,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dzimumu līdztiesība: 02, dzimumu līdztiesības aspekta integrēšana.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Komisijas 2020.g. pārskats: https://www.vdeavk.gov.lv/lv/media/459/download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https://www.vdeavk.gov.lv/lv/publikacijas-un-parskati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IUB sagatavotā informācija par sociāli atbildīgu publisko iepirkumu pieejama: https://www.iub.gov.lv/lv/socialais-iepirkums un Vadlīnijas sociāli atbildīga publiskā iepirkuma īstenošanai pieejamas: https://www.iub.gov.lv/lv/media/658/download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IUB sagatavotā informācija par Inovatīvo publisko iepirkumu pieejama: https://www.iub.gov.lv/lv/inovativais-iepirkums?utm_source=https%3A%2F%2Fwww.google.com%2F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Vadlīnijas attiecināmo izmaksu noteikšanai Eiropas Savienības kohēzijas politikas programmas 2021.-2027.gada plānošanas periodā. Pieejams: https://www.esfondi.lv/upload/2021-2027/attiec_vadl_21-27__final.pdf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https://www.esfondi.lv/upload/izvertejumi/izvertejuma_zinojums_23.12.2022.docx</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un darbspēju ekspertīzes ārstu valsts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vēršas Veselības un darbspēju ekspertīzes ārstu valsts komisijā  atbalsta saņemšanai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īstenošanas ietvaros tiek veicināta komisijas veiktspēja, efektivizēti tās darbības procesi un pilnveidota IIS, kā rezultātā tiek uzlabotas komsijas nodarbināto profesionālās prasmes un zināšanās, tai skaitā pilnveidota klientu apkalpošana.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un darbspēju ekspertīzes ārstu valsts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īstenošanas ietvaros tiek veicināta finansējuma saņēmēja - komisijas veiktspēja, efektivizēti tās darbības procesi un pilnveidota IIS.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netieša ietekme, jo efektīva prognozējamas invaliditātes un invaliditātes ekspertīzes procesa īstenošana, kā arī kvalitatīva pakalpojuma sniegšana personām ar invaliditāti nosaka vajadzību komisijas ārstu, speciālistu, amatpersonu, atbalsta funkciju veicēju un citu komisijas nodarbināto profesionālo spēju uzturēšanai augstā profesionālā līmenī. 4.3.6.2. pasākuma ietvaros tiks stiprināta komisijas nodarbināto veiktspēja, pilnveidojot darba kvalitāti, komisijas nodarbināto zināšanas, kas nepieciešamas efektīvai un profesionālai prognozējamas invaliditātes un invaliditātes ekspertīzes procesa veikšanai. Sabiedrības izpratnes veicināšanai par invaliditātes ekspertīzes procesiem, kā arī, lai veidotu pozitīvu komisijas tēlu, tiks nodrošināta sabiedrības informēšanas pasākumu īstenošana  par komisijas darbību un tās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236 620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291 508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270 871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236 620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291 508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270 871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278 377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342 951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318 672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12 691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278 377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342 951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318 672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12 691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-41 757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-51 443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-47 801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-41 757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-51 443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-47 801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4.3.6.2. pasākumam plānotais un pieejamais kopējais attiecināmais finansējums ir 1 000 000 </w:t>
            </w:r>
            <w:r w:rsidR="00000000" w:rsidRPr="00000000" w:rsidDel="00000000">
              <w:rPr>
                <w:sz w:val="24"/>
                <w:i w:val="1"/>
                <w:rtl w:val="0"/>
              </w:rPr>
              <w:t xml:space="preserve">euro</w:t>
            </w:r>
            <w:r w:rsidR="00000000" w:rsidRPr="00000000" w:rsidDel="00000000">
              <w:rPr>
                <w:sz w:val="24"/>
                <w:rtl w:val="0"/>
              </w:rPr>
              <w:t xml:space="preserve">, tai skaitā Eiropas Sociālā fonda Plus finansējums (turpmāk – ESF Plus) – 850 000 </w:t>
            </w:r>
            <w:r w:rsidR="00000000" w:rsidRPr="00000000" w:rsidDel="00000000">
              <w:rPr>
                <w:sz w:val="24"/>
                <w:i w:val="1"/>
                <w:rtl w:val="0"/>
              </w:rPr>
              <w:t xml:space="preserve">euro</w:t>
            </w:r>
            <w:r w:rsidR="00000000" w:rsidRPr="00000000" w:rsidDel="00000000">
              <w:rPr>
                <w:sz w:val="24"/>
                <w:rtl w:val="0"/>
              </w:rPr>
              <w:t xml:space="preserve"> un valsts budžeta (turpmāk – VB) līdzfinansējums – 150 000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Plus daļa 85 procentu apmērā no pasākuma attiecināmām izmaksām. Budžeta izdevumi ir kopējie pasākuma ieviešanai nepieciešamie publiskā finansējuma (ESF Plus un VB)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4.3.6.2. pasākuma projektu paredzēts ieviest no 2022. gada II ceturkšņa līdz 2029. gada IV ceturksnim. Finansējums saskaņā ar plānoto projektu, kas tiek īstenots, pamatojoties uz informatīvo ziņojumu, šobrīd plānots līdz 2025. gada 31. decembrim. Neskatoties uz to, pastāv iespēja, ka projekta īstenošanas termiņš tiks noteikts cits, jo atsevišķu atbalstāmo darbību īstenošana iespējama tikai, izpildoties kādiem no finansējuma saņēmēja  neatkarīgiem priekšnosacījumiem, piemēram, tikai pēc plānoto ārējo normatīvo aktu grozījumu spēkā stāšanās. Tāpēc paredzēts maksimālais iespējamais 4.3.6.2. pasākuma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projektā investēts kopējais finansējums 47 309 </w:t>
            </w:r>
            <w:r w:rsidR="00000000" w:rsidRPr="00000000" w:rsidDel="00000000">
              <w:rPr>
                <w:sz w:val="24"/>
                <w:i w:val="1"/>
                <w:rtl w:val="0"/>
              </w:rPr>
              <w:t xml:space="preserve">euro</w:t>
            </w:r>
            <w:r w:rsidR="00000000" w:rsidRPr="00000000" w:rsidDel="00000000">
              <w:rPr>
                <w:sz w:val="24"/>
                <w:rtl w:val="0"/>
              </w:rPr>
              <w:t xml:space="preserve">, tai skaitā ESF Plus finansējums – 40 213 </w:t>
            </w:r>
            <w:r w:rsidR="00000000" w:rsidRPr="00000000" w:rsidDel="00000000">
              <w:rPr>
                <w:sz w:val="24"/>
                <w:i w:val="1"/>
                <w:rtl w:val="0"/>
              </w:rPr>
              <w:t xml:space="preserve">euro</w:t>
            </w:r>
            <w:r w:rsidR="00000000" w:rsidRPr="00000000" w:rsidDel="00000000">
              <w:rPr>
                <w:sz w:val="24"/>
                <w:rtl w:val="0"/>
              </w:rPr>
              <w:t xml:space="preserve"> un VB finansējums – 7096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TA projekta spēkā stāšanās 4.3.6.2. pasākumam finansējums indikatīvi plānots: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finansējums indikatīvi plānots 278 377 </w:t>
            </w:r>
            <w:r w:rsidR="00000000" w:rsidRPr="00000000" w:rsidDel="00000000">
              <w:rPr>
                <w:sz w:val="24"/>
                <w:i w:val="1"/>
                <w:rtl w:val="0"/>
              </w:rPr>
              <w:t xml:space="preserve">euro</w:t>
            </w:r>
            <w:r w:rsidR="00000000" w:rsidRPr="00000000" w:rsidDel="00000000">
              <w:rPr>
                <w:sz w:val="24"/>
                <w:rtl w:val="0"/>
              </w:rPr>
              <w:t xml:space="preserve">, tai skaitā ESF Plus finansējums 236 620 </w:t>
            </w:r>
            <w:r w:rsidR="00000000" w:rsidRPr="00000000" w:rsidDel="00000000">
              <w:rPr>
                <w:sz w:val="24"/>
                <w:i w:val="1"/>
                <w:rtl w:val="0"/>
              </w:rPr>
              <w:t xml:space="preserve">euro</w:t>
            </w:r>
            <w:r w:rsidR="00000000" w:rsidRPr="00000000" w:rsidDel="00000000">
              <w:rPr>
                <w:sz w:val="24"/>
                <w:rtl w:val="0"/>
              </w:rPr>
              <w:t xml:space="preserve"> un VB finansējums 41 757 </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finansējums plānots indikatīvi 342 951 </w:t>
            </w:r>
            <w:r w:rsidR="00000000" w:rsidRPr="00000000" w:rsidDel="00000000">
              <w:rPr>
                <w:sz w:val="24"/>
                <w:i w:val="1"/>
                <w:rtl w:val="0"/>
              </w:rPr>
              <w:t xml:space="preserve">euro</w:t>
            </w:r>
            <w:r w:rsidR="00000000" w:rsidRPr="00000000" w:rsidDel="00000000">
              <w:rPr>
                <w:sz w:val="24"/>
                <w:rtl w:val="0"/>
              </w:rPr>
              <w:t xml:space="preserve">, tai skaitā ESF Plus finansējums 291 508 euro un VB finansējums 51 443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finansējums plānots indikatīvi  331 363 </w:t>
            </w:r>
            <w:r w:rsidR="00000000" w:rsidRPr="00000000" w:rsidDel="00000000">
              <w:rPr>
                <w:sz w:val="24"/>
                <w:i w:val="1"/>
                <w:rtl w:val="0"/>
              </w:rPr>
              <w:t xml:space="preserve">euro</w:t>
            </w:r>
            <w:r w:rsidR="00000000" w:rsidRPr="00000000" w:rsidDel="00000000">
              <w:rPr>
                <w:sz w:val="24"/>
                <w:rtl w:val="0"/>
              </w:rPr>
              <w:t xml:space="preserve">, tai skaitā ESF Plus finansējums 281 659 </w:t>
            </w:r>
            <w:r w:rsidR="00000000" w:rsidRPr="00000000" w:rsidDel="00000000">
              <w:rPr>
                <w:sz w:val="24"/>
                <w:i w:val="1"/>
                <w:rtl w:val="0"/>
              </w:rPr>
              <w:t xml:space="preserve">euro</w:t>
            </w:r>
            <w:r w:rsidR="00000000" w:rsidRPr="00000000" w:rsidDel="00000000">
              <w:rPr>
                <w:sz w:val="24"/>
                <w:rtl w:val="0"/>
              </w:rPr>
              <w:t xml:space="preserve"> un VB finansējums 49 704 </w:t>
            </w:r>
            <w:r w:rsidR="00000000" w:rsidRPr="00000000" w:rsidDel="00000000">
              <w:rPr>
                <w:sz w:val="24"/>
                <w:i w:val="1"/>
                <w:rtl w:val="0"/>
              </w:rPr>
              <w:t xml:space="preserve">euro</w:t>
            </w:r>
            <w:r w:rsidR="00000000" w:rsidRPr="00000000" w:rsidDel="00000000">
              <w:rPr>
                <w:sz w:val="24"/>
                <w:rtl w:val="0"/>
              </w:rPr>
              <w:t xml:space="preserve"> (tai skaitā neizlietotais 2022. gada finansējums 12 691 </w:t>
            </w:r>
            <w:r w:rsidR="00000000" w:rsidRPr="00000000" w:rsidDel="00000000">
              <w:rPr>
                <w:sz w:val="24"/>
                <w:i w:val="1"/>
                <w:rtl w:val="0"/>
              </w:rPr>
              <w:t xml:space="preserve">euro</w:t>
            </w:r>
            <w:r w:rsidR="00000000" w:rsidRPr="00000000" w:rsidDel="00000000">
              <w:rPr>
                <w:sz w:val="24"/>
                <w:rtl w:val="0"/>
              </w:rPr>
              <w:t xml:space="preserve"> apmērā (tai skaitā ESF Plus finansējums 10 788 </w:t>
            </w:r>
            <w:r w:rsidR="00000000" w:rsidRPr="00000000" w:rsidDel="00000000">
              <w:rPr>
                <w:sz w:val="24"/>
                <w:i w:val="1"/>
                <w:rtl w:val="0"/>
              </w:rPr>
              <w:t xml:space="preserve">euro </w:t>
            </w:r>
            <w:r w:rsidR="00000000" w:rsidRPr="00000000" w:rsidDel="00000000">
              <w:rPr>
                <w:sz w:val="24"/>
                <w:rtl w:val="0"/>
              </w:rPr>
              <w:t xml:space="preserve">un VB finansējums 1 903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finansējums tiek plānots apakšprogrammā 63.08.00 “Eiropas Sociālā fonda Plus (ESF+) projektu un pasākumu īstenošana (2021-2027)”.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normatīvajos aktos noteiktajā kārtībā pēc noteikumu projekta apstiprināšanas iesniegs attiecīgu priekšlikumu VB ilgtermiņa saistību precizēšanai pamatbudžeta 2025. gada bāzes projekta sagatavošanas procesā, precizējot VB ilgtermiņa saistības 2025.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ir norādīts indikatīvi un var tikt precizēts, iesniedzot projekta iesniegumu sadarbības iestādē, kā arī projekta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Ņemot vērā, ka 4.3.6.2. pasākuma īstenošana ir uzsākta no 2022.gada 1. jūnija,</w:t>
            </w:r>
            <w:r w:rsidR="00000000" w:rsidRPr="00000000" w:rsidDel="00000000">
              <w:rPr>
                <w:sz w:val="24"/>
                <w:rtl w:val="0"/>
              </w:rPr>
              <w:t xml:space="preserve"> </w:t>
            </w:r>
            <w:r w:rsidR="00000000" w:rsidRPr="00000000" w:rsidDel="00000000">
              <w:rPr>
                <w:sz w:val="24"/>
                <w:b w:val="1"/>
                <w:i w:val="1"/>
                <w:rtl w:val="0"/>
              </w:rPr>
              <w:t xml:space="preserve">plānotā projekta īstenošanā paredzēts iesaistīt visu projekta īstenošanas laiku šādu: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projekta vadības personālu: projekta vadītāju (1 slodze), projekta koordinatoru (1 slodze) un projekta finansistu (0.3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projekta īstenošanas personālu: 3 vecākos ekspertus (2 vecākie eksperti katrs 0.5 slodzes, viens vecākais eksperts – 0.3 slodzes).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vadības un projekta īstenošanas personāls tiks piesaistīts uz 4.3.6.2. pasākuma projekta īstenošanas laiku. Personāla amatus, saimes, kā arī nepieciešamo skaitu noteiks finansējuma saņēmējs, iesniedzot projekta iesniegumu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ilgtspēja tiks nodrošināta, izmantojot VB finansējumu atbilstoši MK 2023. gada 17. janvāra noteikumiem Nr. 15 “Maksimāli pieļaujamā valsts budžeta izdevumu kopapjoma un  katrai ministrijai un citai centrālajai valsts iestādei paredzētā izdevumu kopējā apjoma noteikšanas kārtība vidējam termiņam” (turpmāk – MK noteikumi Nr.15).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4.3.6.2. pasākuma laikā pilnveidotās Invaliditātes informatīvās sistēmas (IIS) ilgtspēju un uzturēšanu pēc IIS pilnveidojumu ieviešanas produkcijā (nodots ekspluatācijā un par to ir veikts galīgā norēķina maksājums), sākot ar 2026. gadu būs nepieciešams papildu finansējums indikatīvi 50 000 </w:t>
      </w:r>
      <w:r w:rsidR="00000000" w:rsidRPr="00000000" w:rsidDel="00000000">
        <w:rPr>
          <w:i w:val="1"/>
          <w:rtl w:val="0"/>
        </w:rPr>
        <w:t xml:space="preserve">euro</w:t>
      </w:r>
      <w:r w:rsidR="00000000" w:rsidRPr="00000000" w:rsidDel="00000000">
        <w:rPr>
          <w:rtl w:val="0"/>
        </w:rPr>
        <w:t xml:space="preserve"> gadā (pamatojoties uz 2023. gada pakalpojumu izmaksām, indikatīvi vienas cilvēkstundas izmaksas varētu veidot vidēji 65 </w:t>
      </w:r>
      <w:r w:rsidR="00000000" w:rsidRPr="00000000" w:rsidDel="00000000">
        <w:rPr>
          <w:i w:val="1"/>
          <w:rtl w:val="0"/>
        </w:rPr>
        <w:t xml:space="preserve">euro</w:t>
      </w:r>
      <w:r w:rsidR="00000000" w:rsidRPr="00000000" w:rsidDel="00000000">
        <w:rPr>
          <w:rtl w:val="0"/>
        </w:rPr>
        <w:t xml:space="preserve"> bez PVN. Ņemot vērā līdzšinējo pieredzi IIS veikto papildinājumu uzturēšanai, gada laikā indikatīvi varētu būt nepieciešamas 635 cilvēkstundas (65 </w:t>
      </w:r>
      <w:r w:rsidR="00000000" w:rsidRPr="00000000" w:rsidDel="00000000">
        <w:rPr>
          <w:i w:val="1"/>
          <w:rtl w:val="0"/>
        </w:rPr>
        <w:t xml:space="preserve">euro</w:t>
      </w:r>
      <w:r w:rsidR="00000000" w:rsidRPr="00000000" w:rsidDel="00000000">
        <w:rPr>
          <w:rtl w:val="0"/>
        </w:rPr>
        <w:t xml:space="preserve"> x 635 cilv./h = 41275 </w:t>
      </w:r>
      <w:r w:rsidR="00000000" w:rsidRPr="00000000" w:rsidDel="00000000">
        <w:rPr>
          <w:i w:val="1"/>
          <w:rtl w:val="0"/>
        </w:rPr>
        <w:t xml:space="preserve">euro</w:t>
      </w:r>
      <w:r w:rsidR="00000000" w:rsidRPr="00000000" w:rsidDel="00000000">
        <w:rPr>
          <w:rtl w:val="0"/>
        </w:rPr>
        <w:t xml:space="preserve"> bez PVN)). Finansējums nepieciešams, lai nodrošinātu 4.3.6.2. pasākuma projekta laikā izstrādāto un pilnveidoto IIS funkcionalitāšu ilgtspēju, turpinātu uzturēt un pēc nepieciešamības pilnveidotu datu analītisko funkcionalitāti (analītisko moduli) un veiktu IIS papildinājumus normatīvā regulējuma izmaiņu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nodrošināšanai finansējums tiks pieprasīts atbilstoši MK noteikumu Nr.15 9.4.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 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2016/679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 (ES) 2016/679 par fizisko personu aizsardzību attiecībā uz personas datu apstrādi un šādu datu brīvu apriti un ar ko atceļ Direktīvu 95/46/EK (Vispārīgā datu aizsardzības regula) (turpmāk – Regula Nr. 2016/679).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2021/1060, 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24.6.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 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2018/ 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24.4.2.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27. aprīļa regula (ES) 2016/679 par fizisko personu aizsardzību attiecībā uz personas datu apstrādi un šādu datu brīvu apriti un ar ko atceļ Direktīvu 95/46/EK (Vispārīgā datu aizsardzības regula) (turpmāk – Regula Nr. 2016/679).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2016/679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24.9.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TA projekta izstrādes laikā tika iesaistītas publiskās apspriešanas ietvaros. TA izstrādei konsultatīvo atbalstu sniedza arī Invaliditātes lietu nacionālā padome, kuras sastāvā ir  Latvijas Nedzirdīgo savienības, Latvijas Neredzīgo biedrības, biedrības “Rīgas pilsētas “Rūpju bērns””, nodibinājuma “Invalīdu un viņu draugu apvienība “Apeirons””, biedrības “Latvijas Paralimpiskā komiteja” un biedrības “Resursu centrs cilvēkiem ar garīgiem traucējumiem “Zelda”” pārstāvji. Konsultatīvo atbalstu sniedza arī Latvijas Cilvēku ar īpašām vajadzībām sadarbības organizācija “SUSTENTO”.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https://tapportals.mk.gov.lv/public_participation/017fc153-3e2d-47cc-9b82-90dcf3281306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apakšpunktam sabiedrībai ir dota iespēja rakstiski sniegt viedokli par TA projektu tā saskaņošanas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Viedokļa sniegšanas laiks no 2023. gada 17. janvāra līdz 2023. gada 31.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saņemti divu fizisku personu viedokļi, kas nav attiecināmi uz TA projekta saturu, attiecīgi uz tiem LM atbildes viedokli nesniedza.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4.3.6.2. pasākuma atbalstāmo darbību ietvaros tiks veikta institūcijas procesu analīze un izstrādāti ieteikumi to efektivizācijai.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4.3.6.2. pasākuma atbalstāmo darbību ietvaros tiks veikta IIS analītiskās funkcionalitātes pilnveide un  IIS pilnveide atbilstoši normatīvajam regulējumam par bērnu invaliditātes noteikšanas kārtību, sekmējot komisijas darba procesu digitalizāciju.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atbildīgās iestādes funkcijas pilda LM, sadarbības iestādes funkcijas pilda CFLA, projekta iesniedzējs, pēc projekta iesnieguma apstiprināšanas projekta finansējuma saņēmējs – komisija.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4.3.6.2. pasākumu, tiks uzlabota komisijas pakalpojumu sniegšana personām ar invaliditāti vai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pilnveidota IIS.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attīstības plāns ietver rīcības virzienu “Sociālā iekļaušana” atbilstošu uzdevumu “Sociālās politikas plānošanas, uzraudzības un novērtēšanas stiprināšana, uzlabojot datu vākšanu, digitalizēto datu apriti un savietojamību, pakalpojumu administrēšanu, kā arī analīzi pierādījumos balstītu lēmumu pieņemšanai sociālās politikas attīstībai un sociālo pakalpojumu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salīdzinoši liels to cilvēku īpatsvars, kuri darbnespējas, vecuma vai citu iemeslu dēļ ienākumus gūst ne no algota darba. Starp tiem ir personas ar invaliditāti, arī cilvēki, kuri fizisku vai psihisku veselības traucējumu dēļ pakļauti priekšlaicīgam darbspēju zudumam. Ieguldījumi sociālās aizsardzības sistēmā, tai skaitā iedzīvotāju individuālajām vajadzībām atbilstošu kvalitatīvu sociālo pakalpojumu nodrošināšanā, ir svarīgi, lai nodrošinātu optimālu dzīves kvalitāti mazāk aizsargātajām iedzīvotāju grupām un neierobežotu darbspējas vecuma cilvēku nodarbinātības un produktivitātes izredzes.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ietvaros tiks veicināta personu ar invaliditāti vai personu ar funkcionēšanas ierobežojumiem izpratne par komisijas pakalpojumiem un pieejamo atbalstu invaliditātes gadījumā. Tas veicinās personu ar invaliditāti integrēšanos sabiedrībā, palielinās sabiedrības empātiju, mazinās neiecietību un veicinās tādas sociālās un ekonomiskās vides veidošanos, kas ir iekļaujoša un ņem vērā ikviena sabiedrības locekļa intereses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ietvaros tiks īstenotas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Vispārīgās horizontālo principu “Vienlīdzība, iekļaušana, nediskriminācija un pamattiesību ievērošana” (turpmāk –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vadībā un īstenošanā tiks ievēroti tādi personāla atlases nosacījumi un prakses, kas ir nediskriminējošas un iekļaujošas cilvēkiem ar invaliditāti (piemēram, nodrošinot pielāgotu darba vietu un tehnoloģijas personai ar invaliditāti un šo faktu norādot darba sludinājumos);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projekta komunikācijas aktivitātes, tiks izvēlēta valoda un vizuālie tēli, kas mazina diskrimināciju un stereotipu veidošanos par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nodrošinot informāciju publiskajā telpā, tai skaitā tīmeklī, tiks nodrošināts, ka to saturs ir piekļūstams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informēšanai tiks izmantoti dažādi informācijas formāti, kas ir piekļūstami cilvēkiem ar dažāda veida funkcionāliem traucējumiem, piemēram, tulkošana zīmju valodā, subtitrēšana, reāllaika transkripcija, materiāli elektroniskā formātā, pasākumu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tiks nodrošināts, ka prasībās iepirkumu līgumu izpildītājiem (iepirkuma nolikumā) tiek izvirzīta prasība nodrošināt, ka pasākumu norises vietai ir iespēja fiziski piekļūt un to var izmantot personas ar dažādiem funkcionāliem traucējumiem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 gan par projektu, gan par projekta pasākumiem tiks sniegta arī vieglā valodā (skatīt LM metodisko materiālu “Ceļvedis iekļaujošas vides veidošanai valsts un pašvaldību iestādēs (2020) https://www.lm.gov.lv/lv/celvedis-ieklaujosas-videsveidosanai-valsts-un-pasvaldibu-iestades-2020);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publiskie iepirkumi tiks veikti sociāli atbildīgā veidā - pērkot ētiski ražotus produktus un pakalpojumus un izmantojot publiskās iepirkumu procedūras, lai radītu darbvietas, pienācīgus darba apstākļus, sekmētu sociālo un profesionālo iekļautību, kā arī veicinātu labākus darba nosacījumus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Specifiskās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izstrādājot digitālo informāciju, tostarp mācību materiālus un informāciju mērķa grupai vai sabiedrības izpratnes un informēšanas paaugstināšanai pasākumu ietvaros, tiks nodrošināts, ka tās saturs ir piekļūstams cilvēkiem ar funkcionāliem traucējumiem, izmantojot vairākus sensoros (redze, dzirde, tauste) kanālus (skatīt vadlīnijas “Tīmekļvietnes izvērtējums atbilstoši digitālās vides piekļūstamības prasībām (WCAG 2.1 AA)” https://pieklustamiba.varam.gov.lv/);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nodrošināts, ka digitālā informācija ir pieejama arī vieglā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mācību saturā tiks integrēti jautājumi par vienlīdzību, iekļaušanu un nediskrimināciju un pamattiesībām;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tiks nodrošinātas konsultācijas ar nevalstiskajām organizācijām, kas pārstāv personu ar invaliditāti intereses, tās paredzot, piemēram, pakalpojuma sniegšanas telpu vides piekļūstamības novērtēšanai, uzrunāšanai un sasniegšanai u.c.(attiecīgi pievienojot dokumentus, piemēram, konsultāciju protokolus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Vispārīgās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vadības un īstenošanas personāla atlase tiks nodrošināta bez jebkādas tiešas vai netiešas diskriminācijas – neatkarīgi no personas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dažādības vadība tiks īstenota un tiks attiecināta gan uz projekta vadības un īstenošanas personālu, gan arī iestādē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nepieciešamības darba vietā tiks izveidota bērnu pieskatīšanas telpa ar aprīkotu darbstaciju;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sievietēm un vīriešiem tiks nodrošināta vienlīdzīga darba samaksa un vienlīdzīgas karjeras izaugsmes iespējas, tostarp nodrošinot dalību mācībās, semināros, komandējumos (t.sk. piemērota vienlīdzīga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īstenojot projekta komunikācijas aktivitātes, tiks izvēlēta valoda un vizuālie tēli, kas mazina diskrimināciju un stereotipu veidošanos par kādu no dzimumiem, cilvēkiem ar invaliditāti, vecumu, atšķirīgu rasi,  reliģiju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Specifiskās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mācību programmu saturā tiks integrēti jautājumi par vienlīdzību, iekļaušanu un nediskrimināciju un pamattiesībām;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nodrošinātas dzimumu līdztiesības ekspertu konsultācijas (vai konsultatīva rakstura pasākumi) mācību programmu satura izvērtēšanai no dzimumu līdztiesības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semināru, mācību, darbnīcu un konferenču saturā tiks integrēti dzimumu līdztiesības un nediskriminācijas jautājumi.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ietvaros tiks celta komisijas speciālistu veiktspēja un stiprināta kapacitāte, lai  invaliditātes ekspertīze un pieņemtie lēmumi būtu iespējami augstākā profesionālā kvalitātē gan saistībā ar personas veselības traucējumiem un funkcionēšanas ierobežojumiem (balstīti ne tikai slimības faktā), gan arī no administratīvā akta juridiskas pamatotības un tā noformēšanas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datu apstrāde tiks veikta saskaņā ar Eiropas Parlamenta un Padomes 2016. gada 27. aprīļa Regulu (ES) 2016/679 par fizisku personu aizsardzību attiecībā uz personas datu apstrādi un šādu datu brīvu apriti un ar ko atceļ Direktīvu 95/46/EK (Vispārīgā datu aizsardzības regula).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Periodā no 2023. gada plānots veikt grozījumus nozares normatīvajā regulējumā, lai salāgotu pieaugušā un bērna invaliditātes vērtēšanas kritērijus, lai sekmētu vienotu pieeju funkcionēšanas izvērtēšanā un neradītu pretrunas laikā, kad bērns sasniedz pilngadību un tiek pielietota atšķirīga pieeja invaliditātes noteikšanā. 4.3.6.2. pasākuma ietvaros tiks īstenoti IIS pilnveidojumi, lai nodrošinātu IIS atbilstību normatīvo aktu par bērnu ar invaliditāti noteikšanas sistēmas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pasākumam ir tieša pozitīva ietekme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projekta ietvaros tiks īstenotas darbības, kas veicina vienlīdzību, iekļaušanu, nediskrimināciju un pamattiesību ievērošanu, kā arī tā vadībā un īstenošanā tiks īstenoti vispārīgas un specifiskas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pasākums tiks īstenots ierobežotas projektu iesniegumu atlases veidā, tā projekta iesnieguma vērtēšanā tiks definēts horizontālā principa “Vienlīdzība, iekļaušana, nediskriminācija un pamattiesību ievērošana” specifiskais atbilstības kritērijs (precizējamais kritērijs), par kuru var tikt pieņemts lēmums par projekta iesnieguma apstiprināšanu (vai apstiprināšanu ar nosacījumu), ja projekta iesniedzējs nodrošina pilnīgu atbilstību kritērijam lēmumā noteiktajā termiņā un kārtībā. Kritērija neatbilstības gadījumā projekta iesniegums tiks 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nodrošinās, ka publiskie iepirkumi tiek veikti saskaņā ar normatīvajiem aktiem publisko iepirkumu jomā, īstenojot konkurenci nodrošinošu, pārredzamu, atklātu, nediskriminējošu konkursa procedūru un, kur tas ir attiecināms, īstenojot sociāli atbildīgus un inovatīvus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4.3.6.2. pasākuma ietekmes uz HP VINPI īstenošanu novērtēšanai TA projektā ir noteikti HP VINPI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23-TA-73</w:t>
    </w:r>
    <w:r>
      <w:br/>
    </w:r>
    <w:r w:rsidR="00000000" w:rsidRPr="00000000" w:rsidDel="00000000">
      <w:rPr>
        <w:rtl w:val="0"/>
      </w:rPr>
      <w:t xml:space="preserve">Izdrukāts 29.07.2026. 21.50 - 6.0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23-TA-73</w:t>
    </w:r>
    <w:r>
      <w:br/>
    </w:r>
    <w:r w:rsidR="00000000" w:rsidRPr="00000000" w:rsidDel="00000000">
      <w:rPr>
        <w:rtl w:val="0"/>
      </w:rPr>
      <w:t xml:space="preserve">Izdrukāts 29.07.2026. 21.50 - 6.0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anotācija_(ex_ante)_23-TA-73.docx</dc:title>
</cp:coreProperties>
</file>

<file path=docProps/custom.xml><?xml version="1.0" encoding="utf-8"?>
<Properties xmlns="http://schemas.openxmlformats.org/officeDocument/2006/custom-properties" xmlns:vt="http://schemas.openxmlformats.org/officeDocument/2006/docPropsVTypes"/>
</file>