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kritērijiem un kārtību, kādā tiek izraudzītas nevalstiskās organizācijas darbam Sabiedrības integrācijas fonda padomē, un atlīdzību Sabiedrības integrācijas fonda padomes locekļiem, kuri ir nevalstisko organizāciju pārstāvji"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atbilstoši Sabiedrības integrācijas fonda (turpmāk – Fonds) padomes ierosinājumam un Kultūras ministrijas iniciatīvai, pamatojoties uz Sabiedrības integrācijas fonda likuma 9. panta otro un piekto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kritērijus un kārtību, kādā tiek izraudzītas nevalstiskās organizācijas darbam Fonda padomē, un atalgojumu Fonda padomes locekļiem, kuri ir nevalstisko organizāciju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23. jūlijā stājās spēkā 2019. gada 8. jūlija grozījumi Sabiedrības integrācijas fonda likumā, kas paredz izmaiņas Fonda padomes sastāvā, izmaiņas kārtībā, kādā tiek izraudzītas nevalstiskās organizācijas darbam Fonda padomē, kā arī Fonda padomes sastāvā iekļauto nevalstisko organizāciju pārstāvju atlīdzības saņemšanas kārtību par amata pienākumu pildīšanu. Lai nodrošinātu Sabiedrības integrācijas fonda likuma grozījumos ietvertā regulējuma atbilstību kārtībai, kādā tiek izraudzītas nevalstiskās organizācijas darbam Fonda padomē, kā arī vienotā tiesiskajā regulējumā ietvertu Ministru kabineta 2019. gada 17. decembra noteikumu Nr. 664 „Noteikumi par atlīdzības apmēru Sabiedrības integrācijas fonda padomes locekļiem, kas ir nevalstisko organizāciju pārstāvji” regulējumu, Ministru kabinets 2021. gada 1. aprīlī pieņēma noteikumus Nr. 205 „Noteikumi par kritērijiem un kārtību, kādā tiek izraudzītas nevalstiskās organizācijas darbam Sabiedrības integrācijas fonda padomē, un atlīdzību Sabiedrības integrācijas fonda padomes locekļiem, kas ir nevalstisko organizāciju pārstāvji” (turpmāk – MK noteikumi Nr. 205).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noteikumos Nr. 205 noteiktajai kārtībai ir notikušas divas nevalstisko organizāciju atlases darbam Fonda padomē. Saskaņā ar Sabiedrības integrācijas fonda likuma 3. panta otrās daļas 12. punktu Fonda uzdevums kā finansējuma saņēmējam ir īstenot Eiropas Savienības politiku instrumentu un pārējās ārvalstu finanšu palīdzības līdzfinansētos projektus. Par šādu projektu īstenošanu lemj Fonda padome, to attiecīgi atspoguļojot Fonda darbības stratēģijā. Atbilstoši Ministru kabineta 2021. gada 7. decembra sēdes protokollēmuma (prot. Nr. 79 37. §) „Informatīvais ziņojums „Par koordinējošās iestādes izveidi personu, kurām nepieciešama starptautiskā aizsardzība, sociālekonomiskās iekļaušanas jomā” (21-TA-108) 2. punktam Fonds ir noteikts par atbildīgo un koordinējošo iestādi patvēruma meklētāju un starptautiskās aizsardzības saņēmēju sociālekonomiskās iekļaušanas koordinācijas jomā. Kopš 2022. gada Fonds sadarbībā ar Kultūras ministriju nodrošina latviešu valodas mācības, kā arī kopš 2023. gada Fonds nodrošina arī kultūrorientācijas kursus Ukrainas civiliedzīvotājiem. Augstāk minētie gadījumi ir piemērs tam, kā var mainīties Fonda darbības stratēģiskie virzieni atbilstoši nacionālajām prioritātēm vai ģeopolitiskajiem notikumiem un aktualitātēm. Līdz ar to ir nepieciešams nodrošināt dažādu jomu nevalstisko organizāciju iesaisti Fonda padomē. Lai to nodrošinātu ar 2024. gada 4. septembra Kultūras ministrijas rīkojumu Nr. 2.5‑1‑125 tika izveidota darba grupa MK noteikumu Nr. 205 grozījumu projekta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140. punktu grozījumu noteikumu projektu nesagatavo, ja tā normu apjoms pārsniedz pusi no spēkā esošo noteikumu normu apjoma, šādā gadījumā sagatavo jaunu noteikumu projektu. Sākotnēji Projektu bija paredzēts sagatavot kā grozījumus MK noteikumos Nr. 205, tomēr, ņemot vērā nepieciešamo grozījumu apjomu, ir sagatavots jauns Projekts, kuram stājoties spēkā, MK noteikumi Nr. 205 tiks atzīti par spēku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noteikumos Nr. 205 noteiktajai kārtībai notikušas divas nevalstisko organizāciju atlases darbam Fonda padomē. Ņemot vērā Fonda darbības stratēģiskos virzienus, to izmaiņas atbilstoši nacionālajām prioritātēm vai ģeopolitiskajiem notikumiem un aktualitātēm, nepieciešams nodrošināt dažādu jomu nevalstisko organizāciju iesaisti Fonda padomē. Vienlaikus, lai nodrošinātu efektīvu konkursa komisijas, kas izvērtē nevalstisko organizāciju pieteikumus darbam Fonda padomē, efektivitāti, ir nepieciešams papildināt konkursa komisijas sastāvu ar labklājības jomas pārstāvi, kā arī spēcināt Nevalstisko organizāciju un Ministru kabineta sadarbības memoranda īstenošanas padomes pārstāvniecību.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strauji pieaugušo nevalstisko organizāciju interesi un gatavību iesaistīties Fonda padomes darbā, nepieciešams pagarināt pieteikumu vērtēšanas termiņu, ņemot vērā būtisku pieteikumu skaita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205 neparedz konkursa komisijas konkrētu rīcību gadījumā, ja konkursā nevalstiskā organizācija nav izvirzījusi aizvietotāju. Tādējādi pastāv risks, ka komisijas darbā var tikt pieļautas normu interpretācijas, kas var kalpot par pamatu labvēlīgākam vai mazāk labvēlīgam lēmumam attiecībā uz pieteikuma vērtējumu.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kritērijus, pēc kādiem tiek izraudzītas nevalstiskās organizācijas, kuras ir tiesīgas deleģēt savu pārstāvi darbam Fonda padomē, kārtību, kādā šīs nevalstiskās organizācijas tiek izraudzītas, un atalgojuma apmēru par amata pienākumu pildīšanu Fonda padomē Fonda padomes locekļiem vai viņu aizvietotājiem, kas ir nevalstisko organizāciju pārstāvji,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nevalstisko organizāciju, to deleģēto pārstāvju un viņu aizvietotāju atlases kritērijus (Projekta 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tiek izsludināts konkurss nevalstiskajām organizācijām, kuras ir tiesīgas deleģēt savu pārstāvi un viņa aizvietotāju darbam Fonda padomē (turpmāk – konkurss) (Projekta III.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konkursā iesniedzamo dokumentu un iesnieguma sagatavošanas, tai skaitā aizpildāmās pieteikuma veidlapas un dokumentu iesniegšanas kārtību (Projekta IV.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konkursa komisija izvērtē pieteikumu un pieņem lēmumu, kuras nevalstiskās organizācijas un to pārstāvji tiks iekļauti Fonda padomē (Projekta 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atalgojuma apmēru par vienu Fonda padomes sēdi, kā arī par vienu elektronisko rakstisko procedūru Fonda padomes locekļiem, kuri ir nevalstisko organizāciju pārstāvji (Projekta VI.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precizēts MK noteikumos Nr. 205 noteiktais tiesiskais regulējums un kārtība, kādā darbam Fonda padomē tiek atlasītas nevalstiskās organizācijas. Lai nodrošinātu efektīvāku Fonda padomes darbību un kompetentu nevalstisko organizāciju pārstāvju dalību tajā, Projekts nosaka kritērijus nevalstiskajai organizācijai, kas vēlas deleģēt savu pārstāvi un viņa aizvietotāju darbam Fonda padomē (Projekta 6., 7. un 9. punkts), vienlaikus paredzot Fonda padomei tiesības noteikt prioritāru nevalstisko organizāciju darbības jomu, tādējādi sekmējot tādu nevalstisko organizāciju iesaisti, kuru darbība atbilst Fonda darbības stratēģiskajiem virzieniem, to izmaiņām atbilstoši nacionālajām prioritātēm vai ģeopolitiskajiem notikumiem un aktualitātēm (Projekta 6.1. apakšpunkts). Projektā ir noteikti arī kritēriji nevalstisko organizāciju deleģēto pārstāvju un aizvietotāju kandidatūru izvērtēšanai, lai detalizēti izvērtētu katra kandidāta kompetenci Fonda darbības jomās, darbības pieredzi nevalstiskajā organizācijā, kopējo darbības pieredzi nevalstiskajā sektorā vai pilsoniskajā sabiedrībā, kā arī tādas darbam Fonda padomē nepieciešamas prasmes kā vadības, komunikācijas, argumentācijas, sadarbības un stratēģiskās plānošanas prasmes, kā arī izpratni par Fondu, tā mērķiem un darbību un izpratni par valsts pārvaldi un tās darbību (Projekta 10.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6. un 7. punktā noteikto kritēriju pārbaudi, Fonda sekretariāts pārbauda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Uzņēmumu reģistra tīmekļvietnē – vai nevalstiskā organizācija ir reģistrēta un darbojas Latvijas Republikā vismaz trīs gadus pirms konkursa izsludināšanas, vai nevalstiskā organizācija nav pasludināta par maksātnespējīgu, neatrodas likvidācijas stadijā, tās publiskā darbība nav apturēta vai pārtraukta, vai nav uzsākta tiesvedība par nevalstiskās organizācijas darbības izbeigšanu vai maksātnespēju, kā arī vai nevalstiskās organizācijas statūtos noteiktais darbības mērķis un darbības joma atbilstoši Ministru kabineta 2024. gada 25. jūnija noteikumos Nr. 398 ,,Biedrību un nodibinājumu klasificēšanas noteikumi” noteiktajai klasifikācijai vismaz trīs gadus ir tieši saistīta ar vismaz vienu no Projekta 6.6. apakšpunktā noteiktajām darbības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ieņēmumu dienesta publiskajā nodokļu parādnieku datubāzē – vai nevalstiskajai organizācijai nav nodokļu parādu un valsts sociālās apdrošināšanas obligāto iemaksu parādu, kuru kopsumma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ministrijas Informācijas centra valsts informācijas sistēmā „Sodu reģistrs” – vai nevalstiskās organizācijas valdes locekļi, deleģētais pārstāvis vai aizvietotājs nav sodīts par tīšiem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Pilsonības un migrācijas lietu pārvaldē – vai nevalstiskās organizācijas deleģētais pārstāvis un aizvietotājs ir Latvijas Republikas pilsoņi, un vai to rīcībspēju nav ierobežojusi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nevalstisko organizāciju deleģēto pārstāvju un aizvietotāju dzīvesgaitas aprakstos – vai nevalstiskās organizācijas deleģētais pārstāvis un aizvietotājs pārvalda latviešu valodu un var nodrošināt pilnvērtīgu dalību Fonda padomes sēdēs;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Starptautisko un Latvijas Republikas nacionālo sankciju likuma 11.1 pantā noteiktajā kārtībā – vai nevalstiskajai organizācijai un tās valdes locekļiem nav noteiktas starptautiskās vai nacionālās sankcijas vai būtiskas finanšu un kapitāla tirgus intereses ietekmējošas Eiropas Savienības vai Ziemeļatlantijas līguma organizācijas dalībvalsts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no Iekšlietu ministrijas Informācijas centra valsts informācijas sistēmas „Sodu reģistrs” tiks iegūta rakstveidā (vēstules formā), ievērojot Ministru kabineta 2014. gada 23. septembra noteikumos Nr. 563 ,,Noteikumi par ziņu sniegšanu un saņemšanu no Sodu reģistra, valsts nodevas apmēru un izziņas noformēšanas prasībām” noteikto kārtību. Arī no Pilsonības un migrācijas lietu pārvaldes informācija tiks iegūta rakstveidā (vēstules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likuma 2. panta otrā daļa nosaka, ka Fonda lēmējorgāns ir Fonda padome. Sabiedrības integrācijas fonda likuma 9. panta pirmā daļa nosaka, ka Fonda padomes sastāvā ir Ministru prezidenta pārstāvis, kultūras ministrs, izglītības un zinātnes ministrs, labklājības ministrs, viedās administrācijas un reģionālās attīstības ministrs, tieslietu ministrs, kā arī četri nevalstisko organizāciju pārstāvji. Turklāt Sabiedrības integrācijas fonda likuma 9. panta sestā daļa nosaka, ka Fonda padomes sastāvā iekļautos ministrus var aizvietot ministra pilnvarota persona, par ministra pilnvarotu personu var būt ministrijas parlamentārais sekretārs, valsts sekretārs, valsts sekretāra vietnieks vai ministrijas struktūrvienības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iekārtas likuma 12. pantu par Ministru kabineta locekli nevar izvirzīt un apstiprināt personu, kuru saskaņā ar Saeimas vēlēšanu likumu nevar pieteikt par Saeimas deputāta kandidātu un ievēlēt Saeimā, t.i., par Ministru kabineta locekli nevar kļūt tāda persona, kura atbilst Saeimas vēlēšanu likuma 5. pantā noteiktajiem gadījumiem. Savukārt uz Ministru prezidenta pārstāvi, kā arī uz ministra pilnvarotu personu ir attiecināmas Valsts civildienesta likuma 7. pantā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Sabiedrības integrācijas fonda likuma 3. panta otro daļu Fonda uzdevumi ir tostarp – izstrādāt Fonda darbības stratēģiju atbilstoši valsts sabiedrības integrācijas politikas plānošanas dokumentiem un citiem attīstības plānošanas dokumentiem, noteikt kritērijus un izstrādāt pamatprincipus sabiedrības integrācijas un publiskā un nevalstiskā sektora attīstības projektu izvērtēšanai, noteikt kritērijus un izstrādāt metodiskos norādījumus sabiedrības integrācijas un publiskā un nevalstiskā sektora attīstības projektu sagatavošanai un pieteikšanai, izsludināt un organizēt sabiedrības integrācijas un publiskā un nevalstiskā sektora attīstības projektu konkursus finansējuma saņemšanai, kā arī uzturēt un atjaunot Fondam iesniegto un tā finansēto sabiedrības integrācijas un publiskā un nevalstiskā sektora attīstības projektu publiski pieejamu datu bāzi, kā arī saņemt un analizēt informāciju par perspektīvajiem finansējuma projektiem un mērķtiecīgi un efektīvi apsaimniekot piešķirto finansējumu, nodrošinot kontroli pār līdzekļu izlietošanu. Tādējādi Fonda padomes locekļu amata pienākumos ietilpst, piemēram, Fonda īstenoto valsts budžeta programmu pārraudzība, Fonda prioritāšu un uzdevumu formulēšana, to izpildes kontrole, Fonda darbības stratēģijas izstrāde, kā arī lēmumu pieņemšana ar valsts budžeta finansējuma izlietošanu saistītos jautājumos, lēmumu pieņemšana par projektu apstiprināšanu vai noraidīšanu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Fonda padomes locekļu amata pienākumus, arī nevalstisko organizāciju deleģētajiem pārstāvjiem un aizvietotājiem ir izvirzāmas noteiktas prasības. Projektā noteiktie ierobežojumi nevalstisko organizāciju deleģētajiem pārstāvjiem un aizvietotājiem ir noteikti, ņemot vērā apstākli, ka nevalstisko organizāciju deleģēto pārstāvju un aizvietotāju amata pienākumi Fonda padomē pēc satura un būtības aptver šaurāku jautājumu loku kā ministru prezidenta pārstāvja, ministru un viņu aizvietotāju amata pienākumi. Nevalstisko organizāciju deleģētajiem pārstāvjiem un aizvietotājiem Projekta 7. punktā ir noteiktas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sasnieguši pilngadību;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jābūt Latvijas Republikas pilsoņiem;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jāpārvalda latviešu valoda, lai varētu nodrošināt pilnvērtīgu dalību Fonda padomes sēdēs;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nevar būt sodīti par tīšiem noziedzīgiem nodarījumiem vai ir reabilitēti vai tiem ir noņemta vai dzēsta sodāmība;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rīcībspēju nav ierobežojusi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nevalstiskās organizācijas ir pilnvarojušas tās pārstāvēt;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nav noteiktas starptautiskās vai nacionālās sankcijas vai būtiskas finanšu un kapitāla tirgus intereses ietekmējošas Eiropas Savienības vai Ziemeļatlantijas līguma organizācijas dalībvalsts 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precīzāk atspoguļotu jomas, kurās tiks izraudzītas nevalstiskās organizācijas, kas būs tiesīgas deleģēt savu pārstāvi un viņa aizvietotāju, attiecībā uz nevalstiskās organizācijas statūtos noteikto darbības mērķi un darbības jomu, Projekta 6.6. apakšpunkts ir precizēts atbilstoši Ministru kabineta 2024. gada 25. jūnija noteikumos Nr. 398 ,,Biedrību un nodibinājumu klasificēšanas noteikumi” noteiktajai klasifikācijai. Saskaņā ar Projekta 27. punktu konkursa komisija apstiprināšanai Fonda padomē, izvērtējot iesniegumus, izvirza četras nevalstiskās organizācijas, kas pārstāv dažādas pamatdarbības jomas, lai nodrošinātu pēc iespējas plašāku nevalstisko organizāciju jomu pārstāvniecību Fonda padomē. Gadījumā, ja konkursā pieteikumus ir iesniegušas nevalstiskās organizācijas, kas pārstāv vienu darbības jomu un tās atbilst visiem pārējiem Projektā izvirzītajiem kritērijiem, konkursa komisija var virzīt apstiprināšanai darbam Fonda padomē četras vienu jomu pārstāvošas 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 nodaļa nosaka tiesisko regulējumu par atalgojuma apmēru Fonda padomes locekļiem, kuri ir nevalstisko organizāciju pārstāvji. Projekta 35. punkts paredz Fonda padomes locekļa vai viņa aizvietotāja, kas ir nevalstiskās organizācijas pārstāvis, atalgojuma apmēru par vienu Fonda padomes sēdi – 201,76 </w:t>
      </w:r>
      <w:r w:rsidR="00000000" w:rsidRPr="00000000" w:rsidDel="00000000">
        <w:rPr>
          <w:i w:val="1"/>
          <w:rtl w:val="0"/>
        </w:rPr>
        <w:t xml:space="preserve">euro</w:t>
      </w:r>
      <w:r w:rsidR="00000000" w:rsidRPr="00000000" w:rsidDel="00000000">
        <w:rPr>
          <w:rtl w:val="0"/>
        </w:rPr>
        <w:t xml:space="preserve">. Savukārt Projekta 36. punkts paredz Fonda padomes locekļa vai viņa aizvietotāja, kas ir nevalstiskās organizācijas pārstāvis, atalgojuma apmēru par vienu elektronisko rakstisko procedūru – 50,44 </w:t>
      </w:r>
      <w:r w:rsidR="00000000" w:rsidRPr="00000000" w:rsidDel="00000000">
        <w:rPr>
          <w:i w:val="1"/>
          <w:rtl w:val="0"/>
        </w:rPr>
        <w:t xml:space="preserve">euro</w:t>
      </w:r>
      <w:r w:rsidR="00000000" w:rsidRPr="00000000" w:rsidDel="00000000">
        <w:rPr>
          <w:rtl w:val="0"/>
        </w:rPr>
        <w:t xml:space="preserve">. Atalgojumā ir ietverta samaksa par sagatavošanos (vidēji 6 stundas) un piedalīšanos (vidēji 2 stundas) Fonda padomes sēdē vai elektroniskajā rakstiskajā procedūrā (vidēji 2 stundas).Vidēji gadā tiek plānotas 16 Fonda padomes sēdes un 10 elektroniskās rakstiskās procedūras. Atlīdzības apmēra detalizēts aprēķins ir ietverts Projekta sākotnējās ietekmes novērtējuma ziņojuma (anotācijas) III. sadaļā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Sabiedrības integrācijas fonda likuma 2. panta otro daļu Fonda lēmējorgāns ir Fonda padome. Ņemot vērā Sabiedrības integrācijas fonda likuma 3. panta otrajā daļā Fondam noteiktos uzdevumus un atbilstoši Fonda padomes locekļu amata pienākumiem (piemēram, Fonda īstenoto valsts budžeta programmu pārraudzība, Fonda prioritāšu un uzdevumu formulēšana, to izpildes kontrole, Fonda darbības stratēģijas izstrāde, kā arī lēmumu pieņemšana ar valsts budžeta un Eiropas Savienības finansējuma izlietošanu saistītos jautājumos, lēmumu pieņemšana par projektu apstiprināšanu vai noraidīšanu, atbild par politikas ieviešanu vairākās nozarēs u.c.), atalgojuma apmērs ir pielīdzināms Ministru kabineta 2022. gada 26. aprīļa noteikumu Nr. 262 „Valsts un pašvaldību institūciju amatu katalogs, amatu klasifikācijas un amatu apraksta izstrādāšanas kārtība” 36.amatu saimes „Politikas ieviešana” VII  līmenim un 13. mēnešalgu grupai, kurai saskaņā ar Valsts un pašvaldību institūciju amatpersonu un darbinieku atlīdzības likuma 3. pielikumu 2025. gadā nosakāms bāzes mēnešalgas viduspunkts – 4 187 </w:t>
      </w:r>
      <w:r w:rsidR="00000000" w:rsidRPr="00000000" w:rsidDel="00000000">
        <w:rPr>
          <w:i w:val="1"/>
          <w:rtl w:val="0"/>
        </w:rPr>
        <w:t xml:space="preserve">euro</w:t>
      </w:r>
      <w:r w:rsidR="00000000" w:rsidRPr="00000000" w:rsidDel="00000000">
        <w:rPr>
          <w:rtl w:val="0"/>
        </w:rPr>
        <w:t xml:space="preserve">. Attiecīgi Fonda padomes loceklis, kas ir nevalstiskās organizācijas pārstāvis, saņems minēto atalgojumu 201,76 </w:t>
      </w:r>
      <w:r w:rsidR="00000000" w:rsidRPr="00000000" w:rsidDel="00000000">
        <w:rPr>
          <w:i w:val="1"/>
          <w:rtl w:val="0"/>
        </w:rPr>
        <w:t xml:space="preserve">euro</w:t>
      </w:r>
      <w:r w:rsidR="00000000" w:rsidRPr="00000000" w:rsidDel="00000000">
        <w:rPr>
          <w:rtl w:val="0"/>
        </w:rPr>
        <w:t xml:space="preserve"> apmērā par vienu Fonda padomes sēdi un 50,44 </w:t>
      </w:r>
      <w:r w:rsidR="00000000" w:rsidRPr="00000000" w:rsidDel="00000000">
        <w:rPr>
          <w:i w:val="1"/>
          <w:rtl w:val="0"/>
        </w:rPr>
        <w:t xml:space="preserve">euro </w:t>
      </w:r>
      <w:r w:rsidR="00000000" w:rsidRPr="00000000" w:rsidDel="00000000">
        <w:rPr>
          <w:rtl w:val="0"/>
        </w:rPr>
        <w:t xml:space="preserve">apmērā par elektronisko rakstisko procedūru. Atalgojuma apmēra aprēķins tika izstrādāts sadarbībā ar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efektīva un pārskatāma nevalstisko organizāciju un to pārstāvju atlase darbam Fonda padomē.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Provizorisks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Fonda padomes loceklim, kas ir nevalstiskās organizācijas pārstāvis, par darbu tiek pielīdzināts 36. amatu saimes „Politikas ieviešana” VII līmenim un 13. mēnešalgu grupai, kurai saskaņā ar Valsts un pašvaldību institūciju amatpersonu un darbinieku atlīdzības likuma 3. pielikumu 2025. gadā nosakāms bāzes mēnešalgas viduspunkts – 4 187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Vidējā stundas tarifa likme:</w:t>
            </w:r>
            <w:r w:rsidR="00000000" w:rsidRPr="00000000" w:rsidDel="00000000">
              <w:rPr>
                <w:sz w:val="24"/>
                <w:rtl w:val="0"/>
              </w:rPr>
              <w:t xml:space="preserve"> (4 187 </w:t>
            </w:r>
            <w:r w:rsidR="00000000" w:rsidRPr="00000000" w:rsidDel="00000000">
              <w:rPr>
                <w:sz w:val="24"/>
                <w:i w:val="1"/>
                <w:rtl w:val="0"/>
              </w:rPr>
              <w:t xml:space="preserve">euro</w:t>
            </w:r>
            <w:r w:rsidR="00000000" w:rsidRPr="00000000" w:rsidDel="00000000">
              <w:rPr>
                <w:sz w:val="24"/>
                <w:rtl w:val="0"/>
              </w:rPr>
              <w:t xml:space="preserve"> / 166 vid. darba stundu skaits mēnesī 2025. gadā = 25,22 </w:t>
            </w:r>
            <w:r w:rsidR="00000000" w:rsidRPr="00000000" w:rsidDel="00000000">
              <w:rPr>
                <w:sz w:val="24"/>
                <w:i w:val="1"/>
                <w:rtl w:val="0"/>
              </w:rPr>
              <w:t xml:space="preserve">euro/stundā</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ka klātienes sēdes ilgums ir 2 (divas) stundas, savukārt gatavošanās sēdei 6 (sešas) stundas, kas kopā veido 8 (astoņas) stundas, bet kopējais dalības ilgums elektroniskajās rakstiskajās procedūrās ir 2 (divas) stundas. Vidēji gadā tiek plānotas 16 Fonda padomes sēdes un 10 elektroniskās rakstiskās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Izmaksas par vienu Fonda padomes sēdi: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vienam Fonda padomes loceklim: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25,22 </w:t>
            </w:r>
            <w:r w:rsidR="00000000" w:rsidRPr="00000000" w:rsidDel="00000000">
              <w:rPr>
                <w:sz w:val="24"/>
                <w:i w:val="1"/>
                <w:rtl w:val="0"/>
              </w:rPr>
              <w:t xml:space="preserve">euro</w:t>
            </w:r>
            <w:r w:rsidR="00000000" w:rsidRPr="00000000" w:rsidDel="00000000">
              <w:rPr>
                <w:sz w:val="24"/>
                <w:rtl w:val="0"/>
              </w:rPr>
              <w:t xml:space="preserve">/stundā x 8 stundas = 201,76 </w:t>
            </w:r>
            <w:r w:rsidR="00000000" w:rsidRPr="00000000" w:rsidDel="00000000">
              <w:rPr>
                <w:sz w:val="24"/>
                <w:i w:val="1"/>
                <w:rtl w:val="0"/>
              </w:rPr>
              <w:t xml:space="preserve">euro</w:t>
            </w:r>
            <w:r w:rsidR="00000000" w:rsidRPr="00000000" w:rsidDel="00000000">
              <w:rPr>
                <w:sz w:val="24"/>
                <w:rtl w:val="0"/>
              </w:rPr>
              <w:t xml:space="preserve"> par vienu Fonda padomes sēdi.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201,76 </w:t>
            </w:r>
            <w:r w:rsidR="00000000" w:rsidRPr="00000000" w:rsidDel="00000000">
              <w:rPr>
                <w:sz w:val="24"/>
                <w:i w:val="1"/>
                <w:rtl w:val="0"/>
              </w:rPr>
              <w:t xml:space="preserve">euro</w:t>
            </w:r>
            <w:r w:rsidR="00000000" w:rsidRPr="00000000" w:rsidDel="00000000">
              <w:rPr>
                <w:sz w:val="24"/>
                <w:rtl w:val="0"/>
              </w:rPr>
              <w:t xml:space="preserve"> x 23,59% = 47,60 </w:t>
            </w:r>
            <w:r w:rsidR="00000000" w:rsidRPr="00000000" w:rsidDel="00000000">
              <w:rPr>
                <w:sz w:val="24"/>
                <w:i w:val="1"/>
                <w:rtl w:val="0"/>
              </w:rPr>
              <w:t xml:space="preserve">euro</w:t>
            </w:r>
            <w:r w:rsidR="00000000" w:rsidRPr="00000000" w:rsidDel="00000000">
              <w:rPr>
                <w:sz w:val="24"/>
                <w:rtl w:val="0"/>
              </w:rPr>
              <w:t xml:space="preserve"> par vienu Fonda padomes sēdi.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atlīdzība vienam Fonda padomes loceklim: 201,76 </w:t>
            </w:r>
            <w:r w:rsidR="00000000" w:rsidRPr="00000000" w:rsidDel="00000000">
              <w:rPr>
                <w:sz w:val="24"/>
                <w:i w:val="1"/>
                <w:rtl w:val="0"/>
              </w:rPr>
              <w:t xml:space="preserve">euro </w:t>
            </w:r>
            <w:r w:rsidR="00000000" w:rsidRPr="00000000" w:rsidDel="00000000">
              <w:rPr>
                <w:sz w:val="24"/>
                <w:rtl w:val="0"/>
              </w:rPr>
              <w:t xml:space="preserve">+ 47,60 </w:t>
            </w:r>
            <w:r w:rsidR="00000000" w:rsidRPr="00000000" w:rsidDel="00000000">
              <w:rPr>
                <w:sz w:val="24"/>
                <w:i w:val="1"/>
                <w:rtl w:val="0"/>
              </w:rPr>
              <w:t xml:space="preserve">euro</w:t>
            </w:r>
            <w:r w:rsidR="00000000" w:rsidRPr="00000000" w:rsidDel="00000000">
              <w:rPr>
                <w:sz w:val="24"/>
                <w:rtl w:val="0"/>
              </w:rPr>
              <w:t xml:space="preserve"> = 249,36 </w:t>
            </w:r>
            <w:r w:rsidR="00000000" w:rsidRPr="00000000" w:rsidDel="00000000">
              <w:rPr>
                <w:sz w:val="24"/>
                <w:i w:val="1"/>
                <w:rtl w:val="0"/>
              </w:rPr>
              <w:t xml:space="preserve">euro </w:t>
            </w:r>
            <w:r w:rsidR="00000000" w:rsidRPr="00000000" w:rsidDel="00000000">
              <w:rPr>
                <w:sz w:val="24"/>
                <w:rtl w:val="0"/>
              </w:rPr>
              <w:t xml:space="preserve">par vienu Fonda padomes sēdi.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Izmaksas par vienu elektronisko rakstisko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vienam Fonda padomes loceklim: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25,22 </w:t>
            </w:r>
            <w:r w:rsidR="00000000" w:rsidRPr="00000000" w:rsidDel="00000000">
              <w:rPr>
                <w:sz w:val="24"/>
                <w:i w:val="1"/>
                <w:rtl w:val="0"/>
              </w:rPr>
              <w:t xml:space="preserve">euro</w:t>
            </w:r>
            <w:r w:rsidR="00000000" w:rsidRPr="00000000" w:rsidDel="00000000">
              <w:rPr>
                <w:sz w:val="24"/>
                <w:rtl w:val="0"/>
              </w:rPr>
              <w:t xml:space="preserve">/stundā x 2 stundas = 50,44 </w:t>
            </w:r>
            <w:r w:rsidR="00000000" w:rsidRPr="00000000" w:rsidDel="00000000">
              <w:rPr>
                <w:sz w:val="24"/>
                <w:i w:val="1"/>
                <w:rtl w:val="0"/>
              </w:rPr>
              <w:t xml:space="preserve">euro </w:t>
            </w:r>
            <w:r w:rsidR="00000000" w:rsidRPr="00000000" w:rsidDel="00000000">
              <w:rPr>
                <w:sz w:val="24"/>
                <w:rtl w:val="0"/>
              </w:rPr>
              <w:t xml:space="preserve">par vienu elektronisko rakstisko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50,44 </w:t>
            </w:r>
            <w:r w:rsidR="00000000" w:rsidRPr="00000000" w:rsidDel="00000000">
              <w:rPr>
                <w:sz w:val="24"/>
                <w:i w:val="1"/>
                <w:rtl w:val="0"/>
              </w:rPr>
              <w:t xml:space="preserve">euro</w:t>
            </w:r>
            <w:r w:rsidR="00000000" w:rsidRPr="00000000" w:rsidDel="00000000">
              <w:rPr>
                <w:sz w:val="24"/>
                <w:rtl w:val="0"/>
              </w:rPr>
              <w:t xml:space="preserve"> x 23,59% = 11,90 </w:t>
            </w:r>
            <w:r w:rsidR="00000000" w:rsidRPr="00000000" w:rsidDel="00000000">
              <w:rPr>
                <w:sz w:val="24"/>
                <w:i w:val="1"/>
                <w:rtl w:val="0"/>
              </w:rPr>
              <w:t xml:space="preserve">euro</w:t>
            </w:r>
            <w:r w:rsidR="00000000" w:rsidRPr="00000000" w:rsidDel="00000000">
              <w:rPr>
                <w:sz w:val="24"/>
                <w:rtl w:val="0"/>
              </w:rPr>
              <w:t xml:space="preserve"> par vienu elektronisko rakstisko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atlīdzība vienam Fonda padomes loceklim: 50,44</w:t>
            </w:r>
            <w:r w:rsidR="00000000" w:rsidRPr="00000000" w:rsidDel="00000000">
              <w:rPr>
                <w:sz w:val="24"/>
                <w:i w:val="1"/>
                <w:rtl w:val="0"/>
              </w:rPr>
              <w:t xml:space="preserve"> euro</w:t>
            </w:r>
            <w:r w:rsidR="00000000" w:rsidRPr="00000000" w:rsidDel="00000000">
              <w:rPr>
                <w:sz w:val="24"/>
                <w:rtl w:val="0"/>
              </w:rPr>
              <w:t xml:space="preserve"> + 11,90 </w:t>
            </w:r>
            <w:r w:rsidR="00000000" w:rsidRPr="00000000" w:rsidDel="00000000">
              <w:rPr>
                <w:sz w:val="24"/>
                <w:i w:val="1"/>
                <w:rtl w:val="0"/>
              </w:rPr>
              <w:t xml:space="preserve">euro</w:t>
            </w:r>
            <w:r w:rsidR="00000000" w:rsidRPr="00000000" w:rsidDel="00000000">
              <w:rPr>
                <w:sz w:val="24"/>
                <w:rtl w:val="0"/>
              </w:rPr>
              <w:t xml:space="preserve"> = 62,34 </w:t>
            </w:r>
            <w:r w:rsidR="00000000" w:rsidRPr="00000000" w:rsidDel="00000000">
              <w:rPr>
                <w:sz w:val="24"/>
                <w:i w:val="1"/>
                <w:rtl w:val="0"/>
              </w:rPr>
              <w:t xml:space="preserve">euro</w:t>
            </w:r>
            <w:r w:rsidR="00000000" w:rsidRPr="00000000" w:rsidDel="00000000">
              <w:rPr>
                <w:sz w:val="24"/>
                <w:rtl w:val="0"/>
              </w:rPr>
              <w:t xml:space="preserve"> par vienu elektronisko rakstisko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paredzēts četriem Fonda padomes locekļiem, kuri ir nevalstisko organizāciju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Kopējās izmaksas 18 452,64 </w:t>
            </w:r>
            <w:r w:rsidR="00000000" w:rsidRPr="00000000" w:rsidDel="00000000">
              <w:rPr>
                <w:sz w:val="24"/>
                <w:b w:val="1"/>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Fonda padomes locekļi x 16 Fonda padomes sēdes x 249,36 </w:t>
            </w:r>
            <w:r w:rsidR="00000000" w:rsidRPr="00000000" w:rsidDel="00000000">
              <w:rPr>
                <w:sz w:val="24"/>
                <w:i w:val="1"/>
                <w:rtl w:val="0"/>
              </w:rPr>
              <w:t xml:space="preserve">euro</w:t>
            </w:r>
            <w:r w:rsidR="00000000" w:rsidRPr="00000000" w:rsidDel="00000000">
              <w:rPr>
                <w:sz w:val="24"/>
                <w:rtl w:val="0"/>
              </w:rPr>
              <w:t xml:space="preserve"> = 15 959,04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Fonda padomes locekļi x 10 Fonda elektroniskās rakstiskās procedūras x 62,34 </w:t>
            </w:r>
            <w:r w:rsidR="00000000" w:rsidRPr="00000000" w:rsidDel="00000000">
              <w:rPr>
                <w:sz w:val="24"/>
                <w:i w:val="1"/>
                <w:rtl w:val="0"/>
              </w:rPr>
              <w:t xml:space="preserve"> euro</w:t>
            </w:r>
            <w:r w:rsidR="00000000" w:rsidRPr="00000000" w:rsidDel="00000000">
              <w:rPr>
                <w:sz w:val="24"/>
                <w:rtl w:val="0"/>
              </w:rPr>
              <w:t xml:space="preserve"> = 2 493,60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Fonda budžetā Fonda padomes locekļu atlīdzībai paredzēts finansējums 5 710,08 </w:t>
            </w:r>
            <w:r w:rsidR="00000000" w:rsidRPr="00000000" w:rsidDel="00000000">
              <w:rPr>
                <w:sz w:val="24"/>
                <w:i w:val="1"/>
                <w:rtl w:val="0"/>
              </w:rPr>
              <w:t xml:space="preserve">euro</w:t>
            </w:r>
            <w:r w:rsidR="00000000" w:rsidRPr="00000000" w:rsidDel="00000000">
              <w:rPr>
                <w:sz w:val="24"/>
                <w:rtl w:val="0"/>
              </w:rPr>
              <w:t xml:space="preserve"> apmērā. Lai nodrošinātu finansējumu Fonda padomes locekļu atlīdzības pārskatīšanai, papildu nepieciešamais finansējums atlīdzībai 12 742, 56 </w:t>
            </w:r>
            <w:r w:rsidR="00000000" w:rsidRPr="00000000" w:rsidDel="00000000">
              <w:rPr>
                <w:sz w:val="24"/>
                <w:i w:val="1"/>
                <w:rtl w:val="0"/>
              </w:rPr>
              <w:t xml:space="preserve">euro </w:t>
            </w:r>
            <w:r w:rsidR="00000000" w:rsidRPr="00000000" w:rsidDel="00000000">
              <w:rPr>
                <w:sz w:val="24"/>
                <w:rtl w:val="0"/>
              </w:rPr>
              <w:t xml:space="preserve">apmērā, kas savstarpēji pārdalāms Fonda budžetā no izdevumiem precēm un pakalpojumiem uz atlīdzības izdevumiem, veicot apropriācijas izmaiņas 2025. gadā un izmaiņas Fonda maksimāli pieļaujamo valsts budžeta izdevumu apjomā 2026.-2029. 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Izglītības un zinātnes ministrija, Kultūras ministrija, Tieslietu ministrija, Valsts kanceleja, Viedās administrācijas un reģionālās attīstības ministrija, Sabiedrības integrācijas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 biedrība „Ar pasaules pieredzi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iekļautā tiesiskā regulējuma sagatavošanā piedalījās ar Kultūras ministrijas 2024. gada 4. septembra rīkojumu Nr. 2.5-1-125 „Par darba grupas izveidi Ministru kabineta 2021. gada 1. aprīļa noteikumu Nr. 205 „Noteikumi par kritērijiem un kārtību, kādā tiek izraudzītas nevalstiskās organizācijas darbam Sabiedrības integrācijas fonda padomā, un atlīdzību Sabiedrības integrācijas fonda padomes locekļiem, kas ir nevalstisko organizāciju pārstāvji” grozījumu projekta sagatavošanai” izveidotā darba grupa, kuras sastāvā darbojās pārstāvji no Kultūras ministrijas, Izglītības un zinātnes ministrijas, Viedās administrācijas un reģionālās attīstības ministrijas, Ārlietu ministrijas, Valsts kancelejas, Fonda, Tieslietu ministrijas, biedrības „Latvijas Pilsoniskā alianse” un biedrības „Ar pasaules pieredzi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iekļauto tiesisko regulējumu ir izskatījusi un konceptuāli atbalstījusi tā tālāku virzību ar Kultūras ministrijas 2024. gada 4. septembra rīkojumu Nr. 2.5-1-125 „Par darba grupas izveidi Ministru kabineta 2021. gada 1. aprīļa noteikumu Nr. 205 „Noteikumi par kritērijiem un kārtību, kādā tiek izraudzītas nevalstiskās organizācijas darbam Sabiedrības integrācijas fonda padomā, un atlīdzību Sabiedrības integrācijas fonda padomes locekļiem, kas ir nevalstisko organizāciju pārstāvji” grozījumu projekta sagatavošanai” izveidotā darba grupa 2025. gada 6. maija darba grupas sēdē, kā arī Fonda padome 2025. gada 25. aprīļa Fonda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publiskās apspriešanas laikā saņemtajiem sabiedrības pārstāvju iebildumiem un priekšlikumiem informācija tiks iekļauta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Nevalstisko organizāciju un Ministru kabineta sadarbības memoranda īstenošanas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pasaules demokrātijas indeksā Latvija ar 7,38 punktiem ierindojas 37. vietā no 167 valstīm un kopumā Latvija joprojām tiek vērtēta kā „nepilnīga demokrātija”. Zemākie vērtējumi piešķirti par valdības funkcionēšanu (6,43 punkti) un politiskās līdzdalības līmeni (6,11 punkti), bet augstākais vērtējums piešķirts par vēlēšanu procesu un plurālismu (9,58 punkti).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Saliedētas un pilsoniski aktīvas sabiedrības attīstības plāna 2022.‑2023. gadam izvērtējuma rezultātiem īstenotie pasākumi demokrātisko prasmju un pilsoniskās līdzdalības atbalstam kopumā vērtējami kā ļoti labi un situācijai un mērķa grupu vajadzībām atbilstoši. Būtiski, ka īstenoti vairāki pasākumi, kas atstās ilgtermiņa ietekmi uz līdzdalības iespējām un procesu Latvijā. Ir stiprināti nevalstisko organizāciju reģionālie centri, kam ir liela nozīme nevalstisko organizāciju konsultēšanā un kapacitātes stiprināšanā dažādos reģionos. Papildus 2021. gadā darbu uzsācis Vienotais tiesību aktu projektu izstrādes un saskaņošanas portāls (TAP portāls) un 2022. gadā publicētas Valsts kancelejas izstrādātās Vadlīnijas sabiedrības līdzdalības nodrošināšanai valsts pārvaldē. [2] Savukārt 2024. gada 15. oktobrī ir pieņemti Ministru kabineta noteikumi Nr. 639 “Sabiedrības līdzdalības kārtība attīstības plānošanas procesā”. Visu šo pasākumu atstātais iespaids būs novērtējams tikai ilgākā laika posmā, taču sagaidāms, ka tie palīdzēs Latvijai tuvināties vidējam Eiropas Savienības valstu pilsoniskās kompetences un līdzdalības līmenim.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loma pilsoniskās sabiedrības attīstībā ir organizētajai pilsoniskajai sabiedrībai, galvenokārt – biedrībām un nodibinājumiem (nevalstisko organizāciju sektoram), kā arī arodbiedrībām un to apvienībām. Pateicoties organizētajai pilsoniskajai sabiedrībai, ir iespējams nodrošināt plašu interešu pārstāvniecību un kvalitatīvu līdzdalību lēmumu pieņemšanā, uzturot pastāvīgu pilsonisko dialogu ar lēmumu pieņēmējiem.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The Economist Intelligence Unit (2023). Democracy Index 2023. Age of Conflict. p.10.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https://www.eiu.com/n/campaigns/democracy-index-2023/?utm_source=mkt-whitepaper&amp;utm_medium=email&amp;utm_campaign=democracy-index-2023&amp;utm_term=download-report&amp;utm_content=cta-1-html&amp;mkt_tok=NzUzLVJJUS00MzgAAAGRSosN4__jdU2PhitCYt_PwSwzA9y8zOLVCMNPxneVmWItYNXo9soRuAwRFcRK_0JYOpCiWjcaHgPiLm_D1hfksGwsdJlcgdRReNbskZZ3PlCXug#mktoForm_anch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 (2022). Vadlīnijas sabiedrības līdzdalības nodrošināšanai valsts pārvaldē. Pieejamas: https://www.mk.gov.lv/lv/media/13835/download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SIA „Civitta Latvija” (2023). Ietekmes izvērtējums par Saliedētas un pilsoniski aktīvas sabiedrības attīstības plānu 2022.-2023.gadam. 57.-58.lpp. Pieejams: https://www.km.gov.lv/lv/media/44313/download?attachment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25-TA-1409</w:t>
    </w:r>
    <w:r>
      <w:br/>
    </w:r>
    <w:r w:rsidR="00000000" w:rsidRPr="00000000" w:rsidDel="00000000">
      <w:rPr>
        <w:rtl w:val="0"/>
      </w:rPr>
      <w:t xml:space="preserve">Izdrukāts 29.07.2026. 23.25 - 1.0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25-TA-1409</w:t>
    </w:r>
    <w:r>
      <w:br/>
    </w:r>
    <w:r w:rsidR="00000000" w:rsidRPr="00000000" w:rsidDel="00000000">
      <w:rPr>
        <w:rtl w:val="0"/>
      </w:rPr>
      <w:t xml:space="preserve">Izdrukāts 29.07.2026. 23.25 - 1.0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anotācija_(ex_ante)_25-TA-1409.docx</dc:title>
</cp:coreProperties>
</file>

<file path=docProps/custom.xml><?xml version="1.0" encoding="utf-8"?>
<Properties xmlns="http://schemas.openxmlformats.org/officeDocument/2006/custom-properties" xmlns:vt="http://schemas.openxmlformats.org/officeDocument/2006/docPropsVTypes"/>
</file>