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2016. gada 9. augusta noteikumos Nr. 533 "Darbības programmas "Izaugsme un nodarbinātība" 8.1.4. specifiskā atbalsta mērķa "Uzlabot pirmā līmeņa profesionālās augstākās izglītības STEM, tajā skaitā medicīnas un radošās industrijas, studiju mācību vidi koledžās" īstenošanas noteikumi"” (turpmāk – MK noteikumu projekts) sagatavots saskaņā ar Eiropas Savienības struktūrfondu un Kohēzijas fonda 2014. – 2020.gada plānošanas perioda vadības likuma 20. panta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precizēt nosacījumus, lai atbalsts koledžu STEM studiju vides infrastruktūrā pamatlīdzekļu un ilgtermiņa ieguldījumu amortizācijas periodā netiktu kvalificēts kā komercdarbības atbalsts, kā arī noteikt par šo uzraudzību atbildīgo institūciju. Vienlaikus MK noteikumu projekta mērķis ir precizēt Malnavas koledžas nosaukumu atbilstoši veiktajai reorganizācijai.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specifiskā atbalsta mērķa "Uzlabot pirmā līmeņa profesionālās augstākās izglītības STEM, tajā skaitā medicīnas un radošās industrijas, studiju mācību vidi koledžās" (turpmāk – 8.1.4. SAM) ietvaros ir īstenoti 9 projekti (veiktas investīcijas 9 koledžās). MK noteikumu projekta izstrādes brīdī visu 9 projektu īstenošana ir pabeigta, tai skaitā 7 projektiem ir statuss „pabeigts”, ieskaitot Malnavas koledžu, un turpinās to pēcuzraudzības periods, bet 2 projektiem ir izskatīšanā noslēguma maksājuma pieprasījums. Projektu rezultātā attīstītajā koledžu infrastruktūrā ierobežotā apjomā ir pieļaujama papildinošas saimnieciskās darbības veikšana.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9. augusta noteikumu Nr. 533 "Darbības programmas "Izaugsme un nodarbinātība" 8.1.4. specifiskā atbalsta mērķa "Uzlabot pirmā līmeņa profesionālās augstākās izglītības STEM, tajā skaitā medicīnas un radošās industrijas, studiju mācību vidi koledžās" īstenošanas noteikumi" (turpmāk – MK noteikumi Nr. 533) 32.</w:t>
      </w:r>
      <w:r w:rsidR="00000000" w:rsidRPr="00000000" w:rsidDel="00000000">
        <w:rPr>
          <w:vertAlign w:val="superscript"/>
          <w:rtl w:val="0"/>
        </w:rPr>
        <w:t xml:space="preserve">1</w:t>
      </w:r>
      <w:r w:rsidR="00000000" w:rsidRPr="00000000" w:rsidDel="00000000">
        <w:rPr>
          <w:rtl w:val="0"/>
        </w:rPr>
        <w:t xml:space="preserve"> punkts nosaka, ka, lai atbalsts projekta īstenošanai netiktu kvalificēts kā komercdarbības atbalsts, projekta īstenošanas rezultātā attīstītajā infrastruktūrā papildinošas saimnieciskās darbības veikšana pieļaujama ne vairāk kā 20 procentu apmērā no attiecīgās infrastruktūras gada jaudas platības, laika vai finanšu izteiksmē. Vienlaikus MK noteikumi Nr. 533 nenosaka, kura iestāde veic projektu uzraudzību to infrastruktūras amortizācijas periodā, kā arī neparedz finansējuma saņēmēja pienākumu gadījumos, ja tiek pārkāptas šajos noteikumos noteiktās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533 32.</w:t>
      </w:r>
      <w:r w:rsidR="00000000" w:rsidRPr="00000000" w:rsidDel="00000000">
        <w:rPr>
          <w:vertAlign w:val="superscript"/>
          <w:rtl w:val="0"/>
        </w:rPr>
        <w:t xml:space="preserve">1</w:t>
      </w:r>
      <w:r w:rsidR="00000000" w:rsidRPr="00000000" w:rsidDel="00000000">
        <w:rPr>
          <w:rtl w:val="0"/>
        </w:rPr>
        <w:t xml:space="preserve"> punktā nav atrunāta iespēja sniegt papildpakalpojumus, kā arī nav skaidrota papildinošas saimnieciskās darbības un papildpakalpojumu jēdzienu saturiskā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2021. gada 7. jūlija  rīkojumu Nr. 487 "Par Malnavas koledžas reorganizāciju" (turpmāk – MK rīkojums Nr. 487) Ministru kabinets ir pieņēmis lēmumu reorganizēt Malnavas koledžu, nododot to atvasinātai publiskai personai – Latvijas Lauksaimniecības universitātei un Malnavas koledža turpina pastāvēt kā Latvijas Lauksaimniecības universitātes aģentūra "Latvijas Lauksaimniecības universitātes Malnavas koledža”. Līdz ar to MK noteikumos Nr. 533 nepieciešams aktualizēt Malnavas koledžas nosaukumu.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533 32.</w:t>
      </w:r>
      <w:r w:rsidR="00000000" w:rsidRPr="00000000" w:rsidDel="00000000">
        <w:rPr>
          <w:vertAlign w:val="superscript"/>
          <w:rtl w:val="0"/>
        </w:rPr>
        <w:t xml:space="preserve">1</w:t>
      </w:r>
      <w:r w:rsidR="00000000" w:rsidRPr="00000000" w:rsidDel="00000000">
        <w:rPr>
          <w:rtl w:val="0"/>
        </w:rPr>
        <w:t xml:space="preserve"> punktu papildinošas saimnieciskās darbības veikšana pieļaujama ne vairāk kā 20 procentu apmērā no attiecīgās infrastruktūras gada jaudas platības vai laika, vai finanšu izteiksmē. Lai uzraudzītu 8.1.4. SAM projektu ietvaros veikto investīciju atbilstību MK noteikumu Nr. 533  32.</w:t>
      </w:r>
      <w:r w:rsidR="00000000" w:rsidRPr="00000000" w:rsidDel="00000000">
        <w:rPr>
          <w:vertAlign w:val="superscript"/>
          <w:rtl w:val="0"/>
        </w:rPr>
        <w:t xml:space="preserve">1</w:t>
      </w:r>
      <w:r w:rsidR="00000000" w:rsidRPr="00000000" w:rsidDel="00000000">
        <w:rPr>
          <w:rtl w:val="0"/>
        </w:rPr>
        <w:t xml:space="preserve"> punktam, ir nepieciešams noteikt pienākumu sadarbības iestādei projekta infrastruktūras amortizācijas periodā veikt ikgadēju projektu uzraudzību. Līdz ar to MK noteikumu projekts paredz papildināt MK noteikumus Nr. 533  ar 32.</w:t>
      </w:r>
      <w:r w:rsidR="00000000" w:rsidRPr="00000000" w:rsidDel="00000000">
        <w:rPr>
          <w:vertAlign w:val="superscript"/>
          <w:rtl w:val="0"/>
        </w:rPr>
        <w:t xml:space="preserve">2</w:t>
      </w:r>
      <w:r w:rsidR="00000000" w:rsidRPr="00000000" w:rsidDel="00000000">
        <w:rPr>
          <w:rtl w:val="0"/>
        </w:rPr>
        <w:t xml:space="preserve"> punktu, kas nosaka sadarbības iestādei tādu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Infrastruktūras amortizācijas periods</w:t>
      </w:r>
      <w:r w:rsidR="00000000" w:rsidRPr="00000000" w:rsidDel="00000000">
        <w:rPr>
          <w:rtl w:val="0"/>
        </w:rPr>
        <w:t xml:space="preserve"> – projekta ietvaros modernizēto aktīvu lietderīgās lietošanas laiks, kuru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Ministru kabineta 2018. gada 13. februāra noteikumu Nr. 87 „Grāmatvedības uzskaites kārtība budžeta iestādēs” 2. pielikumā „Pamatlīdzekļu kategorijas, grupas un apakšgrupas nolietojuma normu noteikšanai” noteiktajam laikam (piemēram, lietderīgās lietošanas laiks tehnoloģiskām iekārtām, mēraparatūrai, regulēšanas ierīcēm, laboratoriju un medicīnas iekārtām – 10 gadi, datortehnikai – 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projekta dzīves cikla periodu, ja projekta ietvaros </w:t>
      </w:r>
      <w:r w:rsidR="00000000" w:rsidRPr="00000000" w:rsidDel="00000000">
        <w:rPr>
          <w:b w:val="1"/>
          <w:rtl w:val="0"/>
        </w:rPr>
        <w:t xml:space="preserve">veic būvniecību (izņemot vienkāršoto atjaunošanu)</w:t>
      </w:r>
      <w:r w:rsidR="00000000" w:rsidRPr="00000000" w:rsidDel="00000000">
        <w:rPr>
          <w:rtl w:val="0"/>
        </w:rPr>
        <w:t xml:space="preserve">. 8.1.4. SAM ietvaros saskaņā ar Izmaksu un ieguvumu analīzē izmantojamiem vispārīgiem pieņēmumiem un parametru skaitliskām vērtībām tas ir 20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dzīves cikla periodu, kas izriet no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pielikuma (piemērotā nozare – citas nozares), ja projekta ietvaros </w:t>
      </w:r>
      <w:r w:rsidR="00000000" w:rsidRPr="00000000" w:rsidDel="00000000">
        <w:rPr>
          <w:b w:val="1"/>
          <w:rtl w:val="0"/>
        </w:rPr>
        <w:t xml:space="preserve">veic vienkāršoto atjaunošanu</w:t>
      </w:r>
      <w:r w:rsidR="00000000" w:rsidRPr="00000000" w:rsidDel="00000000">
        <w:rPr>
          <w:rtl w:val="0"/>
        </w:rPr>
        <w:t xml:space="preserve">. Saskaņā ar minēto regulu, projekta dzīves cikls ir 10 gadi. Lai arī visi 9 finansējuma saņēmēji projektu iesnieguma sagatavošanas procesā veica izmaksu un ieguvumu analīzi, kurā viens no izmantotajiem pieņēmumiem paredzēja, ka projekta dzīves cikla ilgums ir 20 gadus, tomēr vairākos projektos veiktie ieguldījumi būvniecībā (vienkāršotā atjaunošana, tai skaitā telpu kosmētiskais remonts) bija relatīvi nelieli (no 50 233 EUR līdz 108 936 EUR, sk. anotācijas pielikumu), līdz ar to nebūtu samērīgi un lietderīgi šiem projektiem piemērot 20 gadu uzraudzības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Metodiku papildinošas saimnieciskās darbības uzraudzīšanai projekta infrastruktūras amortizācijas periodā sadarbības iestādei izstrādās Izglītības un zinātnes ministrija kā Eiropas Savienības struktūrfondu atbildīgā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8.1.4. SAM finansējuma saņēmējs nodrošina, ka katru gadu papildinošai saimnieciskai darbībai iedalītā kapacitāte platības, laika vai finanšu izteiksmē nepārsniedz 20 procentus no infrastruktūras kopējās gada kapacitātes platības, laika vai finanšu izteiksmē, nosakot visam modernizētās infrastruktūras amortizācijas periodam izvēlēto kapacitātes aprēķina metodi platības, laika vai finanšu izteiksmē un atbilstoši kārtībai nodrošinot ar apliecinošiem dokumentiem pierādāmu uzskaiti par papildinošās saimnieciskās darbības ierobežojuma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vienošanās ar sadarbības iestādi par projekta īstenošanu nosaka, ka finansējuma saņēmējam ir pienākums glabāt projekta iesnieguma atvasinājumu un ar projekta īstenošanu un darbībām infrastruktūras amortizācijas periodā saistīto dokumentu oriģinālus vai normatīvajos aktos par dokumentu izstrādāšanu un noformēšanu noteiktajā kārtībā apliecinātas to kopijas visu infrastruktūras amortizācijas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8.1.4. SAM MK noteikumus Nr. 533 papildināt ar 32.</w:t>
      </w:r>
      <w:r w:rsidR="00000000" w:rsidRPr="00000000" w:rsidDel="00000000">
        <w:rPr>
          <w:vertAlign w:val="superscript"/>
          <w:rtl w:val="0"/>
        </w:rPr>
        <w:t xml:space="preserve">3</w:t>
      </w:r>
      <w:r w:rsidR="00000000" w:rsidRPr="00000000" w:rsidDel="00000000">
        <w:rPr>
          <w:rtl w:val="0"/>
        </w:rPr>
        <w:t xml:space="preserve"> punktu, kas nosaka pienākumu atbalsta saņēmējam atmaksāt sadarbības iestādei saņemto nelikumīgo komercdarbības atbalstu kopā ar procentiem no līdzekļiem, kas ir brīvi no komercdarbības atbalsta, atbilstoši Komercdarbības atbalsta kontroles likuma IV vai V nodaļas nosacījumiem, gadījumā, ja sadarbības iestāde konstatē, ka infrastruktūras amortizācijas periodā nav ievērotas 8.1.4. SAM MK noteikumos Nr. 533 noteiktās komercdarbības atbalsta kontroles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koledžās tiek sniegti arī papildpakalpojumi (piemēram, cita pakalpojumu sniedzēja nodrošināti pakalpojumi koledžas izglītojamajiem vai akadēmiskajam personālam) un infrastruktūra šādos gadījumos joprojām saglabā savu nesaimniecisko raksturu, sekmējot tiesisko noteiktību un vienotu normu interpretāciju, noteikumu projekts paredz precizēt nosacījumus attiecībā uz pieļaujamo saimniecisko darbību, izsakot MK noteikumu Nr. 533 32.</w:t>
      </w:r>
      <w:r w:rsidR="00000000" w:rsidRPr="00000000" w:rsidDel="00000000">
        <w:rPr>
          <w:vertAlign w:val="superscript"/>
          <w:rtl w:val="0"/>
        </w:rPr>
        <w:t xml:space="preserve">1</w:t>
      </w:r>
      <w:r w:rsidR="00000000" w:rsidRPr="00000000" w:rsidDel="00000000">
        <w:rPr>
          <w:rtl w:val="0"/>
        </w:rPr>
        <w:t xml:space="preserve"> punktu jaunā redakcijā, un nosakot, ka visā infrastruktūrā, kurā netiek veikta saimnieciskā darbība, pieļaujama ne tikai papildinošās saimnieciskās darbības veikšana, nepārsniedzot 20 procentus no infrastruktūras kopējās gada jaudas platības, laika vai finanšu izteiksmē, bet arī papildpakalpojumu sniegšana, vienlaikus skaidrojot papildinošās saimnieciskās darbības un papildpakalpojumu jēdzienu saturisko nozīmi (sk. skaidrojumu Komisijas paziņojuma par Līguma par Eiropas Savienības darbību 107. panta 1. punktā minēto valsts atbalsta jēdzienu (2016/C 262/01) 207.punktu).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MK rīkojumu Nr. 487 tika reorganizēta Malnavas koledža, nododot to atvasinātai publiskai personai – Latvijas Lauksaimniecības universitātei, kā rezultātā tika mainīts Malnavas koledžas nosaukums, MK noteikumu projekts paredz veikt grozījumus MK noteikumu Nr. 533 12., 15. un 16. punktā, lai precizētu (aktualizētu) Malnavas koledžas nosaukumu. Veiktā reorganizācija nerada ietekmi uz Malnavas koledžas projekta ilgtspēju.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8.1.4.SAM finansējuma saņēmēji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pienākumu Centrālajai finanšu un līgumu aģentūrai projektu infrastruktūras amortizācijas periodā veikt ikgadēju projektu uzraudzību (atbilstību MK noteikumu Nr. 533 32.</w:t>
      </w:r>
      <w:r w:rsidR="00000000" w:rsidRPr="00000000" w:rsidDel="00000000">
        <w:rPr>
          <w:vertAlign w:val="superscript"/>
          <w:rtl w:val="0"/>
        </w:rPr>
        <w:t xml:space="preserve">1</w:t>
      </w:r>
      <w:r w:rsidR="00000000" w:rsidRPr="00000000" w:rsidDel="00000000">
        <w:rPr>
          <w:rtl w:val="0"/>
        </w:rPr>
        <w:t xml:space="preserve"> punkta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ietvertās izmaiņas attiecībā uz Komercdarbības atbalsta jautājumiem attiecas uz visiem 8.1.4.specifiskā atbalsta finansējuma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-6 120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Detalizēts indikatīvo izdevumu aprēķins SAM 8.1.4. projektu uzraudzībai projektu ietvaros modernizētās infrastruktūras amortizācijas periodā sniegts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Jautājumu par papildu administratīvo izmaksu segšanu plānots risināt, izskatot jautājumu par papildu finansējuma piešķiršanu Ministru kabinetā gadskārtējā valsts budžeta likumprojekta un vidēja termiņa budžeta ietvara likumprojekta sagatavošanas un izskatīšanas procesā kopā ar visu ministriju un centrālo valsts iestāžu iesniegtajiem prioritārajiem pasākumiem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Ministrijai nav pieejami finanšu līdzekļi papildu izdevumu finansēšanai, jo ministrijai nav iespēju veikt institucionālus pārkārtojumus, administratīvo izmaksu vai izdevumu samazināšanu Ministrijas kompetencē esošām funkcijām.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indikatīvo izdevumu aprēķins SAM 8.1.4. projektu uzraudzībai projektu ietvaros modernizētās infrastruktūras amortizācijas periodā sniegts anotācijas pielikumā.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19,13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 ar darba devēja 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gadā uz vienu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uzraudzības veicēju skaits uz katru projektu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Nosakot stundas samaksas likmi, izmantoti sekojoši pieņēmumi.
Sadarbības iestādes darbinieka, kurš veiks papildinošanas saimnieciskas darbības nosacījumu ievērošanas uzraudzību, pienākumi saskaņā ar MK 2022.gada 16.aprīļa MK noteikumiem Nr. 262 “Valsts un pašvaldību institūciju amatu katalogs, amatu klasifikācijas un amatu apraksta izstrādāšanas kārtība” (turpmāk MK noteikumi Nr. 262) atbilst amatu apakšaimei 39.2 “Projektu vadība, īstenošana un uzraudzība. Projektu uzraudzība” II līmenim, kas savukārt atbilst 10.mēnešalgu grupai (saskaņā ar MK noteikumu Nr. 262 1.pielikumu “Amatu līmeņu sadalījums mēnešalgu grupās”). Saskaņā ar mēnešalgu skalu valsts un pašvaldības institūcijās nodarbinātajiem ierēdņiem un darbiniekiem (spēkā no 01.07.2022), 10. mēnešalgu grupai noteiktais mēnešalgas minimums ir 1301 euro, bet maksimums ir 2325 euro. Līdz ar to vidējā mēnešalgas likme ir 1813 euro, kas kopā ar darba devēja VSAOI likmi (23,59%) veido 19,13 euro.
Papildu skaidrojumu sk. 7.5.sadaļā "Cita informācija".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612,16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8.1.4. ietvaros sadarbības iestādei ir jāveic projektu uzraudzība ar mērķi nodrošināt Eiropas Komisijas paziņojuma par Līguma par Eiropas Savienības darbību 107. panta 1. punktā minēto valsts atbalsta jēdzienu (2016/C 262/01) 207. punktā minēto nosacījumu izpildi visā modernizētās infrastruktūras amortizācijas periodā līdz 2037.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ietvaros sadarbības iestāde izvērtē šādus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Uzraudzības ietvaros sadarbības iestāde izvērtē: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finansējuma saņēmēja finanšu vadības un grāmatvedības sistēmu (kas ietver jautājumus, kas saistīti ar darbību nodalīšanu u.c. nosacījumiem). Vērtē modernizētās infrastruktūras ekspluatācijas darbību raksturu (papildinoša saimnieciska darbība, darbība, kurai nav saimniecisks raksturs, papildpakalpojumi);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atbilstību MK noteikumu Nr. 533 32.1 punktā noteiktajam, ka papildinošas saimnieciskās darbības veikšana pieļaujama ne vairāk kā 20 procentu apmērā no attiecīgās infrastruktūras gada jaudas platības vai laika, vai finanšu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nepieciešams, sadarbības iestāde piemēro publiskā finansējuma atgūšanas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8.1.4. ietvaros ieguldījumi veikti šādu pamatlīdzekļu modernizācijai, iegādei vai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iekārtas un aprīkojums, kuru amortizācijas periods ir 10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telpu un ēku atjaunošana un pārbūve.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Vidējās administratīvās izmaksas Cg gadā uz vienu projektu aprēķina, izmantojot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Cg = (f x l) x (n x b),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Cg – informācijas sniegšanas, pieņemšanas, apstrādes vai uzglabāšanas pienākumu (turpmāk – uzraudzība) radītās izmaksas jeb administratīvās izmaksas gadā (indikatīvi);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 finanšu līdzekļu apjoms, kas nepieciešams, lai nodrošinātu uzraudzību (stundas samaksas likme);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 – laika patēriņš, kas nepieciešams, lai veiktu viena projekta uzraudzību,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 – subjektu skaits, uz ko attiecas uzraudzības veikšana (divi auditori uz katru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 cik bieži gada laikā projekts paredz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Aprēķins</w:t>
      </w:r>
      <w:r w:rsidR="00000000" w:rsidRPr="00000000" w:rsidDel="00000000">
        <w:rPr>
          <w:rtl w:val="0"/>
        </w:rPr>
        <w:t xml:space="preserve"> (attiecas uz visiem finansējuma saņēmējiem, izņemot Profesionālās kompetences centru "Rīgas Tehniskā koledža":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(19,13 x 16) x (2 x 1) = 612,16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Aprēķins</w:t>
      </w:r>
      <w:r w:rsidR="00000000" w:rsidRPr="00000000" w:rsidDel="00000000">
        <w:rPr>
          <w:rtl w:val="0"/>
        </w:rPr>
        <w:t xml:space="preserve"> (attiecas uz Profesionālās kompetences centru "Rīgas Tehniskā koledža", ņemot vērā to, ka projekts tika īstenots 7 vietās, līdz ar to uzraudzībai nepieciešams lielāks laika patēriņš):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(19,13 x 32) x (2 x 1) = 1224,32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Indikatīvās kopējās uzraudzības izmaksas amortizācijas periodā no 2023. gada līdz 2037. gada 31. decembrim: C</w:t>
      </w:r>
      <w:r w:rsidR="00000000" w:rsidRPr="00000000" w:rsidDel="00000000">
        <w:rPr>
          <w:vertAlign w:val="subscript"/>
          <w:rtl w:val="0"/>
        </w:rPr>
        <w:t xml:space="preserve">2037</w:t>
      </w:r>
      <w:r w:rsidR="00000000" w:rsidRPr="00000000" w:rsidDel="00000000">
        <w:rPr>
          <w:rtl w:val="0"/>
        </w:rPr>
        <w:t xml:space="preserve"> = 65 484 EUR (sk. anotācijas pielikumu).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22-TA-2265</w:t>
    </w:r>
    <w:r>
      <w:br/>
    </w:r>
    <w:r w:rsidR="00000000" w:rsidRPr="00000000" w:rsidDel="00000000">
      <w:rPr>
        <w:rtl w:val="0"/>
      </w:rPr>
      <w:t xml:space="preserve">Izdrukāts 30.07.2026. 00.04 - 1.0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22-TA-2265</w:t>
    </w:r>
    <w:r>
      <w:br/>
    </w:r>
    <w:r w:rsidR="00000000" w:rsidRPr="00000000" w:rsidDel="00000000">
      <w:rPr>
        <w:rtl w:val="0"/>
      </w:rPr>
      <w:t xml:space="preserve">Izdrukāts 30.07.2026. 00.04 - 1.0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anotācija_(ex_ante)_22-TA-2265.docx</dc:title>
</cp:coreProperties>
</file>

<file path=docProps/custom.xml><?xml version="1.0" encoding="utf-8"?>
<Properties xmlns="http://schemas.openxmlformats.org/officeDocument/2006/custom-properties" xmlns:vt="http://schemas.openxmlformats.org/officeDocument/2006/docPropsVTypes"/>
</file>