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DE866" w14:textId="4D24307F" w:rsidR="001D61C9" w:rsidRPr="005D6E17" w:rsidRDefault="00C91820" w:rsidP="000B0104">
      <w:pPr>
        <w:spacing w:after="0" w:line="240" w:lineRule="auto"/>
        <w:jc w:val="right"/>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2</w:t>
      </w:r>
      <w:r w:rsidR="001D61C9" w:rsidRPr="005D6E17">
        <w:rPr>
          <w:rFonts w:ascii="Times New Roman" w:eastAsia="Times New Roman" w:hAnsi="Times New Roman" w:cs="Times New Roman"/>
          <w:color w:val="000000" w:themeColor="text1"/>
          <w:sz w:val="24"/>
          <w:szCs w:val="24"/>
          <w:lang w:eastAsia="lv-LV"/>
        </w:rPr>
        <w:t>.pielikums</w:t>
      </w:r>
    </w:p>
    <w:p w14:paraId="73ED5FD8" w14:textId="006544F1" w:rsidR="000B0104" w:rsidRDefault="00712AE6" w:rsidP="000B0104">
      <w:pPr>
        <w:spacing w:after="0" w:line="240" w:lineRule="auto"/>
        <w:jc w:val="right"/>
        <w:rPr>
          <w:rFonts w:ascii="Times New Roman" w:hAnsi="Times New Roman" w:cs="Times New Roman"/>
          <w:color w:val="000000" w:themeColor="text1"/>
          <w:sz w:val="24"/>
          <w:szCs w:val="24"/>
          <w:lang w:eastAsia="lv-LV"/>
        </w:rPr>
      </w:pPr>
      <w:r w:rsidRPr="005D6E17">
        <w:rPr>
          <w:rFonts w:ascii="Times New Roman" w:hAnsi="Times New Roman" w:cs="Times New Roman"/>
          <w:color w:val="000000" w:themeColor="text1"/>
          <w:sz w:val="24"/>
          <w:szCs w:val="24"/>
          <w:lang w:eastAsia="lv-LV"/>
        </w:rPr>
        <w:t>Ministru kabineta</w:t>
      </w:r>
    </w:p>
    <w:p w14:paraId="1D757556" w14:textId="0A918331" w:rsidR="000B0104" w:rsidRDefault="00712AE6" w:rsidP="000B0104">
      <w:pPr>
        <w:spacing w:after="0" w:line="240" w:lineRule="auto"/>
        <w:jc w:val="right"/>
        <w:rPr>
          <w:rFonts w:ascii="Times New Roman" w:hAnsi="Times New Roman" w:cs="Times New Roman"/>
          <w:color w:val="000000" w:themeColor="text1"/>
          <w:sz w:val="24"/>
          <w:szCs w:val="24"/>
          <w:lang w:eastAsia="lv-LV"/>
        </w:rPr>
      </w:pPr>
      <w:proofErr w:type="gramStart"/>
      <w:r w:rsidRPr="005D6E17">
        <w:rPr>
          <w:rFonts w:ascii="Times New Roman" w:hAnsi="Times New Roman" w:cs="Times New Roman"/>
          <w:color w:val="000000" w:themeColor="text1"/>
          <w:sz w:val="24"/>
          <w:szCs w:val="24"/>
          <w:lang w:eastAsia="lv-LV"/>
        </w:rPr>
        <w:t>2022.gada</w:t>
      </w:r>
      <w:proofErr w:type="gramEnd"/>
      <w:r w:rsidRPr="005D6E17">
        <w:rPr>
          <w:rFonts w:ascii="Times New Roman" w:hAnsi="Times New Roman" w:cs="Times New Roman"/>
          <w:color w:val="000000" w:themeColor="text1"/>
          <w:sz w:val="24"/>
          <w:szCs w:val="24"/>
          <w:lang w:eastAsia="lv-LV"/>
        </w:rPr>
        <w:t xml:space="preserve"> ___.____________</w:t>
      </w:r>
    </w:p>
    <w:p w14:paraId="122338B4" w14:textId="641D56C3" w:rsidR="000B0104" w:rsidRDefault="00712AE6" w:rsidP="000B0104">
      <w:pPr>
        <w:spacing w:after="0" w:line="240" w:lineRule="auto"/>
        <w:jc w:val="right"/>
        <w:rPr>
          <w:rFonts w:ascii="Times New Roman" w:hAnsi="Times New Roman" w:cs="Times New Roman"/>
          <w:color w:val="000000" w:themeColor="text1"/>
          <w:sz w:val="24"/>
          <w:szCs w:val="24"/>
          <w:lang w:eastAsia="lv-LV"/>
        </w:rPr>
      </w:pPr>
      <w:r w:rsidRPr="005D6E17">
        <w:rPr>
          <w:rFonts w:ascii="Times New Roman" w:hAnsi="Times New Roman" w:cs="Times New Roman"/>
          <w:color w:val="000000" w:themeColor="text1"/>
          <w:sz w:val="24"/>
          <w:szCs w:val="24"/>
          <w:lang w:eastAsia="lv-LV"/>
        </w:rPr>
        <w:t>rīkojuma Nr.</w:t>
      </w:r>
      <w:r w:rsidR="000B0104">
        <w:rPr>
          <w:rFonts w:ascii="Times New Roman" w:hAnsi="Times New Roman" w:cs="Times New Roman"/>
          <w:color w:val="000000" w:themeColor="text1"/>
          <w:sz w:val="24"/>
          <w:szCs w:val="24"/>
          <w:lang w:eastAsia="lv-LV"/>
        </w:rPr>
        <w:t xml:space="preserve"> </w:t>
      </w:r>
      <w:r w:rsidRPr="005D6E17">
        <w:rPr>
          <w:rFonts w:ascii="Times New Roman" w:hAnsi="Times New Roman" w:cs="Times New Roman"/>
          <w:color w:val="000000" w:themeColor="text1"/>
          <w:sz w:val="24"/>
          <w:szCs w:val="24"/>
          <w:lang w:eastAsia="lv-LV"/>
        </w:rPr>
        <w:t>_________</w:t>
      </w:r>
    </w:p>
    <w:p w14:paraId="4ECA727B" w14:textId="22B4EE35" w:rsidR="00B945D1" w:rsidRPr="005D6E17" w:rsidRDefault="00712AE6" w:rsidP="000B0104">
      <w:pPr>
        <w:spacing w:after="0" w:line="240" w:lineRule="auto"/>
        <w:jc w:val="right"/>
        <w:rPr>
          <w:rFonts w:ascii="Times New Roman" w:hAnsi="Times New Roman" w:cs="Times New Roman"/>
          <w:color w:val="000000" w:themeColor="text1"/>
          <w:sz w:val="24"/>
          <w:szCs w:val="24"/>
        </w:rPr>
      </w:pPr>
      <w:r w:rsidRPr="005D6E17">
        <w:rPr>
          <w:rFonts w:ascii="Times New Roman" w:hAnsi="Times New Roman" w:cs="Times New Roman"/>
          <w:color w:val="000000" w:themeColor="text1"/>
          <w:sz w:val="24"/>
          <w:szCs w:val="24"/>
          <w:lang w:eastAsia="lv-LV"/>
        </w:rPr>
        <w:t>projekta anotācijai</w:t>
      </w:r>
    </w:p>
    <w:p w14:paraId="40DFA1A6" w14:textId="549662BC" w:rsidR="001D61C9" w:rsidRPr="005D6E17" w:rsidRDefault="001D61C9" w:rsidP="000B0104">
      <w:pPr>
        <w:spacing w:after="0" w:line="240" w:lineRule="auto"/>
        <w:jc w:val="center"/>
        <w:textAlignment w:val="baseline"/>
        <w:rPr>
          <w:rFonts w:ascii="Times New Roman" w:eastAsia="Times New Roman" w:hAnsi="Times New Roman" w:cs="Times New Roman"/>
          <w:color w:val="000000" w:themeColor="text1"/>
          <w:sz w:val="24"/>
          <w:szCs w:val="24"/>
          <w:lang w:eastAsia="lv-LV"/>
        </w:rPr>
      </w:pPr>
    </w:p>
    <w:p w14:paraId="14375F20" w14:textId="2856B5B8" w:rsidR="003559A0" w:rsidRPr="005D6E17" w:rsidRDefault="003559A0" w:rsidP="000B0104">
      <w:pPr>
        <w:spacing w:after="0" w:line="240" w:lineRule="auto"/>
        <w:jc w:val="center"/>
        <w:textAlignment w:val="baseline"/>
        <w:rPr>
          <w:rFonts w:ascii="Times New Roman" w:eastAsia="Times New Roman" w:hAnsi="Times New Roman" w:cs="Times New Roman"/>
          <w:color w:val="000000" w:themeColor="text1"/>
          <w:sz w:val="24"/>
          <w:szCs w:val="24"/>
          <w:lang w:eastAsia="lv-LV"/>
        </w:rPr>
      </w:pPr>
      <w:r w:rsidRPr="000B0104">
        <w:rPr>
          <w:rFonts w:ascii="Times New Roman" w:eastAsia="Times New Roman" w:hAnsi="Times New Roman" w:cs="Times New Roman"/>
          <w:b/>
          <w:color w:val="000000" w:themeColor="text1"/>
          <w:sz w:val="24"/>
          <w:szCs w:val="24"/>
          <w:lang w:eastAsia="lv-LV"/>
        </w:rPr>
        <w:t>Valsts sabiedrības ar ierobežotu atbildību „</w:t>
      </w:r>
      <w:r w:rsidRPr="00137BA9">
        <w:rPr>
          <w:rFonts w:ascii="Times New Roman" w:eastAsia="Times New Roman" w:hAnsi="Times New Roman" w:cs="Times New Roman"/>
          <w:b/>
          <w:color w:val="000000" w:themeColor="text1"/>
          <w:sz w:val="24"/>
          <w:szCs w:val="24"/>
          <w:lang w:eastAsia="lv-LV"/>
        </w:rPr>
        <w:t>Dailes teātris” ekonomiskais izvērtējums</w:t>
      </w:r>
    </w:p>
    <w:p w14:paraId="2B48FEF5" w14:textId="21860B25" w:rsidR="003559A0" w:rsidRPr="005D6E17" w:rsidRDefault="003559A0" w:rsidP="000B0104">
      <w:pPr>
        <w:spacing w:after="0" w:line="240" w:lineRule="auto"/>
        <w:textAlignment w:val="baseline"/>
        <w:rPr>
          <w:rFonts w:ascii="Times New Roman" w:eastAsia="Times New Roman" w:hAnsi="Times New Roman" w:cs="Times New Roman"/>
          <w:color w:val="000000" w:themeColor="text1"/>
          <w:sz w:val="24"/>
          <w:szCs w:val="24"/>
          <w:lang w:eastAsia="lv-LV"/>
        </w:rPr>
      </w:pP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35"/>
        <w:gridCol w:w="4788"/>
      </w:tblGrid>
      <w:tr w:rsidR="000B0104" w:rsidRPr="000B0104" w14:paraId="21276D98" w14:textId="77777777" w:rsidTr="00A162BA">
        <w:tc>
          <w:tcPr>
            <w:tcW w:w="4135" w:type="dxa"/>
            <w:shd w:val="clear" w:color="auto" w:fill="auto"/>
            <w:hideMark/>
          </w:tcPr>
          <w:p w14:paraId="2A69B68D"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Konkurences padomes noteiktie izvērtējamie jautājumi</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348D05E2"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Izvērtējums attiecībā uz kapitālsabiedrības darbību</w:t>
            </w:r>
          </w:p>
        </w:tc>
      </w:tr>
      <w:tr w:rsidR="000B0104" w:rsidRPr="000B0104" w14:paraId="55C3D64C" w14:textId="77777777" w:rsidTr="00A162BA">
        <w:tc>
          <w:tcPr>
            <w:tcW w:w="4135" w:type="dxa"/>
            <w:shd w:val="clear" w:color="auto" w:fill="auto"/>
            <w:hideMark/>
          </w:tcPr>
          <w:p w14:paraId="00A4266E"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Kas ir konkrētā pakalpojuma saņēmēji un kādas vajadzības tiek apmierinātas. Kāds un cik būtisks ieguvums patērētājiem. Kurām patērētāju grupām ieguvums ir visaugstākais.</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34630501"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0B0104">
              <w:rPr>
                <w:rFonts w:ascii="Times New Roman" w:eastAsia="Times New Roman" w:hAnsi="Times New Roman" w:cs="Times New Roman"/>
                <w:color w:val="000000" w:themeColor="text1"/>
                <w:sz w:val="24"/>
                <w:szCs w:val="24"/>
                <w:lang w:eastAsia="lv-LV"/>
              </w:rPr>
              <w:t>VSIA „</w:t>
            </w:r>
            <w:r w:rsidRPr="005D6E17">
              <w:rPr>
                <w:rFonts w:ascii="Times New Roman" w:eastAsia="Times New Roman" w:hAnsi="Times New Roman" w:cs="Times New Roman"/>
                <w:color w:val="000000" w:themeColor="text1"/>
                <w:sz w:val="24"/>
                <w:szCs w:val="24"/>
                <w:lang w:eastAsia="lv-LV"/>
              </w:rPr>
              <w:t>Dailes teātris”</w:t>
            </w:r>
            <w:r w:rsidRPr="000B0104">
              <w:rPr>
                <w:rFonts w:ascii="Times New Roman" w:eastAsia="Times New Roman" w:hAnsi="Times New Roman" w:cs="Times New Roman"/>
                <w:color w:val="000000" w:themeColor="text1"/>
                <w:sz w:val="24"/>
                <w:szCs w:val="24"/>
                <w:lang w:eastAsia="lv-LV"/>
              </w:rPr>
              <w:t xml:space="preserve"> (turpmāk –</w:t>
            </w:r>
            <w:r w:rsidRPr="00137BA9">
              <w:rPr>
                <w:rFonts w:ascii="Times New Roman" w:eastAsia="Times New Roman" w:hAnsi="Times New Roman" w:cs="Times New Roman"/>
                <w:color w:val="000000" w:themeColor="text1"/>
                <w:sz w:val="24"/>
                <w:szCs w:val="24"/>
                <w:lang w:eastAsia="lv-LV"/>
              </w:rPr>
              <w:t xml:space="preserve"> DT) darbība, </w:t>
            </w:r>
            <w:r w:rsidRPr="000B0104">
              <w:rPr>
                <w:rFonts w:ascii="Times New Roman" w:eastAsia="Times New Roman" w:hAnsi="Times New Roman" w:cs="Times New Roman"/>
                <w:color w:val="000000" w:themeColor="text1"/>
                <w:sz w:val="24"/>
                <w:szCs w:val="24"/>
                <w:lang w:eastAsia="lv-LV"/>
              </w:rPr>
              <w:t xml:space="preserve">īstenojot tam deleģētos valsts pārvaldes uzdevumus, ir vērsta </w:t>
            </w:r>
            <w:bookmarkStart w:id="0" w:name="_Hlk73110833"/>
            <w:r w:rsidRPr="000B0104">
              <w:rPr>
                <w:rFonts w:ascii="Times New Roman" w:eastAsia="Times New Roman" w:hAnsi="Times New Roman" w:cs="Times New Roman"/>
                <w:color w:val="000000" w:themeColor="text1"/>
                <w:sz w:val="24"/>
                <w:szCs w:val="24"/>
                <w:lang w:eastAsia="lv-LV"/>
              </w:rPr>
              <w:t xml:space="preserve">uz nacionālā un pasaules kultūras mantojuma saglabāšanu un jaunu vērtību radīšanu teātra mākslas jomā, iestudējot dažādu žanru un formu darbus. </w:t>
            </w:r>
            <w:bookmarkEnd w:id="0"/>
            <w:r w:rsidRPr="000B0104">
              <w:rPr>
                <w:rFonts w:ascii="Times New Roman" w:eastAsia="Times New Roman" w:hAnsi="Times New Roman" w:cs="Times New Roman"/>
                <w:color w:val="000000" w:themeColor="text1"/>
                <w:sz w:val="24"/>
                <w:szCs w:val="24"/>
                <w:lang w:eastAsia="lv-LV"/>
              </w:rPr>
              <w:t>DT aktīvajā repertuārā ir līdz 50 dažādu izrāžu, kas piedāvā kvalitatīvas atpūtas un kultūrizglītības iespējas.</w:t>
            </w:r>
            <w:r w:rsidRPr="005D6E17">
              <w:rPr>
                <w:rFonts w:ascii="Times New Roman" w:hAnsi="Times New Roman" w:cs="Times New Roman"/>
                <w:color w:val="000000" w:themeColor="text1"/>
                <w:sz w:val="24"/>
                <w:szCs w:val="24"/>
              </w:rPr>
              <w:t xml:space="preserve"> </w:t>
            </w:r>
            <w:r w:rsidRPr="000B0104">
              <w:rPr>
                <w:rFonts w:ascii="Times New Roman" w:eastAsia="Times New Roman" w:hAnsi="Times New Roman" w:cs="Times New Roman"/>
                <w:color w:val="000000" w:themeColor="text1"/>
                <w:sz w:val="24"/>
                <w:szCs w:val="24"/>
                <w:lang w:eastAsia="lv-LV"/>
              </w:rPr>
              <w:t xml:space="preserve">Gada laikā </w:t>
            </w:r>
            <w:r w:rsidRPr="00137BA9">
              <w:rPr>
                <w:rFonts w:ascii="Times New Roman" w:eastAsia="Times New Roman" w:hAnsi="Times New Roman" w:cs="Times New Roman"/>
                <w:color w:val="000000" w:themeColor="text1"/>
                <w:sz w:val="24"/>
                <w:szCs w:val="24"/>
                <w:lang w:eastAsia="lv-LV"/>
              </w:rPr>
              <w:t>DT skatītājiem nospēlē no 472 līdz 482 izrādēm, ko apmeklē ap 190 000 skatītāju, kas ir lielākais vienā teātrī apkalpoto skatītāju skaits gada laikā. Pētījumi liecina, ka vairāk nekā 70% apmeklētāju ir sievietes, tāpēc DT primāri orientējas uz šo auditoriju, vienlaikus veicinot arī lielāku vīriešu interesi par teātri. DT kā savu mērķauditoriju izceļ sabiedrības vidusslāni</w:t>
            </w:r>
            <w:r w:rsidRPr="000B0104">
              <w:rPr>
                <w:rFonts w:ascii="Times New Roman" w:eastAsia="Times New Roman" w:hAnsi="Times New Roman" w:cs="Times New Roman"/>
                <w:color w:val="000000" w:themeColor="text1"/>
                <w:sz w:val="24"/>
                <w:szCs w:val="24"/>
                <w:lang w:eastAsia="lv-LV"/>
              </w:rPr>
              <w:t xml:space="preserve"> – iedzīvotājus vecumā no 25 līdz 50 gadiem ar vidējiem un vidēji augstiem ienākumiem. </w:t>
            </w:r>
          </w:p>
        </w:tc>
      </w:tr>
      <w:tr w:rsidR="000B0104" w:rsidRPr="000B0104" w14:paraId="1AD21000" w14:textId="77777777" w:rsidTr="00A162BA">
        <w:tc>
          <w:tcPr>
            <w:tcW w:w="4135" w:type="dxa"/>
            <w:shd w:val="clear" w:color="auto" w:fill="auto"/>
            <w:hideMark/>
          </w:tcPr>
          <w:p w14:paraId="55010C45"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Pakalpojuma tirgus.</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24408F61" w14:textId="2E663FDE"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0B0104">
              <w:rPr>
                <w:rFonts w:ascii="Times New Roman" w:eastAsia="Times New Roman" w:hAnsi="Times New Roman" w:cs="Times New Roman"/>
                <w:color w:val="000000" w:themeColor="text1"/>
                <w:sz w:val="24"/>
                <w:szCs w:val="24"/>
                <w:lang w:eastAsia="lv-LV"/>
              </w:rPr>
              <w:t xml:space="preserve">Resursu koncentrācijas un kapacitātes ziņā DT ir uzskatāms par lielāko profesionālo </w:t>
            </w:r>
            <w:proofErr w:type="spellStart"/>
            <w:r w:rsidRPr="000B0104">
              <w:rPr>
                <w:rFonts w:ascii="Times New Roman" w:eastAsia="Times New Roman" w:hAnsi="Times New Roman" w:cs="Times New Roman"/>
                <w:color w:val="000000" w:themeColor="text1"/>
                <w:sz w:val="24"/>
                <w:szCs w:val="24"/>
                <w:lang w:eastAsia="lv-LV"/>
              </w:rPr>
              <w:t>repertuārteātri</w:t>
            </w:r>
            <w:proofErr w:type="spellEnd"/>
            <w:r w:rsidRPr="000B0104">
              <w:rPr>
                <w:rFonts w:ascii="Times New Roman" w:eastAsia="Times New Roman" w:hAnsi="Times New Roman" w:cs="Times New Roman"/>
                <w:color w:val="000000" w:themeColor="text1"/>
                <w:sz w:val="24"/>
                <w:szCs w:val="24"/>
                <w:lang w:eastAsia="lv-LV"/>
              </w:rPr>
              <w:t xml:space="preserve"> Latvijā. </w:t>
            </w:r>
            <w:r w:rsidRPr="00137BA9">
              <w:rPr>
                <w:rFonts w:ascii="Times New Roman" w:eastAsia="Times New Roman" w:hAnsi="Times New Roman" w:cs="Times New Roman"/>
                <w:color w:val="000000" w:themeColor="text1"/>
                <w:sz w:val="24"/>
                <w:szCs w:val="24"/>
                <w:lang w:eastAsia="lv-LV"/>
              </w:rPr>
              <w:t>DT ir trīs</w:t>
            </w:r>
            <w:r w:rsidRPr="000B0104">
              <w:rPr>
                <w:rFonts w:ascii="Times New Roman" w:eastAsia="Times New Roman" w:hAnsi="Times New Roman" w:cs="Times New Roman"/>
                <w:color w:val="000000" w:themeColor="text1"/>
                <w:sz w:val="24"/>
                <w:szCs w:val="24"/>
                <w:lang w:eastAsia="lv-LV"/>
              </w:rPr>
              <w:t xml:space="preserve"> spēles laukumi ar atšķirīgu māksliniecisko fokusu. Kamerzāle (83</w:t>
            </w:r>
            <w:r w:rsidR="005E38DD">
              <w:rPr>
                <w:rFonts w:ascii="Times New Roman" w:eastAsia="Times New Roman" w:hAnsi="Times New Roman" w:cs="Times New Roman"/>
                <w:color w:val="000000" w:themeColor="text1"/>
                <w:sz w:val="24"/>
                <w:szCs w:val="24"/>
                <w:lang w:eastAsia="lv-LV"/>
              </w:rPr>
              <w:t> </w:t>
            </w:r>
            <w:r w:rsidRPr="000B0104">
              <w:rPr>
                <w:rFonts w:ascii="Times New Roman" w:eastAsia="Times New Roman" w:hAnsi="Times New Roman" w:cs="Times New Roman"/>
                <w:color w:val="000000" w:themeColor="text1"/>
                <w:sz w:val="24"/>
                <w:szCs w:val="24"/>
                <w:lang w:eastAsia="lv-LV"/>
              </w:rPr>
              <w:t xml:space="preserve">skaitītāju vietas) un Mazā zāle (197 vietas) atvēlēta tuvplānu pieprasošiem psiholoģiskas ievirzes darbiem un eksperimentāliem meklējumiem teātra estētikā, bet Lielā zāle ar 1 000 vietām tiek izmantota vērienīgiem inscenējumiem, kas spēj piesaistīt plašu skatītāju auditoriju: drāmām, komēdijām, muzikāliem uzvedumiem, bērnu izrādēm un koncertiem. DT rīcībā ir arī plaša materiāli tehniskā bāze izrāžu sagatavošanai. Martas </w:t>
            </w:r>
            <w:proofErr w:type="spellStart"/>
            <w:r w:rsidRPr="000B0104">
              <w:rPr>
                <w:rFonts w:ascii="Times New Roman" w:eastAsia="Times New Roman" w:hAnsi="Times New Roman" w:cs="Times New Roman"/>
                <w:color w:val="000000" w:themeColor="text1"/>
                <w:sz w:val="24"/>
                <w:szCs w:val="24"/>
                <w:lang w:eastAsia="lv-LV"/>
              </w:rPr>
              <w:t>Staņas</w:t>
            </w:r>
            <w:proofErr w:type="spellEnd"/>
            <w:r w:rsidRPr="000B0104">
              <w:rPr>
                <w:rFonts w:ascii="Times New Roman" w:eastAsia="Times New Roman" w:hAnsi="Times New Roman" w:cs="Times New Roman"/>
                <w:color w:val="000000" w:themeColor="text1"/>
                <w:sz w:val="24"/>
                <w:szCs w:val="24"/>
                <w:lang w:eastAsia="lv-LV"/>
              </w:rPr>
              <w:t xml:space="preserve"> projektētā DT ēka ir spilgts padomju modernisma arhitektūras paraugs, kas iekļauta valsts aizsargājamo kultūras pieminekļu sarakstā un ir viena no Latvijas Kultūras kanona vērtībām.</w:t>
            </w:r>
          </w:p>
          <w:p w14:paraId="5BC94DAF"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proofErr w:type="gramStart"/>
            <w:r w:rsidRPr="000B0104">
              <w:rPr>
                <w:rFonts w:ascii="Times New Roman" w:eastAsia="Times New Roman" w:hAnsi="Times New Roman" w:cs="Times New Roman"/>
                <w:color w:val="000000" w:themeColor="text1"/>
                <w:sz w:val="24"/>
                <w:szCs w:val="24"/>
                <w:lang w:eastAsia="lv-LV"/>
              </w:rPr>
              <w:t>2020.gadā</w:t>
            </w:r>
            <w:proofErr w:type="gramEnd"/>
            <w:r w:rsidRPr="000B0104">
              <w:rPr>
                <w:rFonts w:ascii="Times New Roman" w:eastAsia="Times New Roman" w:hAnsi="Times New Roman" w:cs="Times New Roman"/>
                <w:color w:val="000000" w:themeColor="text1"/>
                <w:sz w:val="24"/>
                <w:szCs w:val="24"/>
                <w:lang w:eastAsia="lv-LV"/>
              </w:rPr>
              <w:t xml:space="preserve"> ar spēcīgu māksliniecisko programmu DT darbu uzsāka jauna teātra vadība, piesak</w:t>
            </w:r>
            <w:r w:rsidRPr="00137BA9">
              <w:rPr>
                <w:rFonts w:ascii="Times New Roman" w:eastAsia="Times New Roman" w:hAnsi="Times New Roman" w:cs="Times New Roman"/>
                <w:color w:val="000000" w:themeColor="text1"/>
                <w:sz w:val="24"/>
                <w:szCs w:val="24"/>
                <w:lang w:eastAsia="lv-LV"/>
              </w:rPr>
              <w:t xml:space="preserve">ot teātra attīstību vērst mākslinieciskās izaugsmes virzienā. Covid-19 izraisītās pandēmijas noteiktie epidemioloģiskie </w:t>
            </w:r>
            <w:r w:rsidRPr="00137BA9">
              <w:rPr>
                <w:rFonts w:ascii="Times New Roman" w:eastAsia="Times New Roman" w:hAnsi="Times New Roman" w:cs="Times New Roman"/>
                <w:color w:val="000000" w:themeColor="text1"/>
                <w:sz w:val="24"/>
                <w:szCs w:val="24"/>
                <w:lang w:eastAsia="lv-LV"/>
              </w:rPr>
              <w:lastRenderedPageBreak/>
              <w:t>ierobežojumi pašlaik liedz izdarīt jebkādus rezultātos balstītus secinājumus par DT jaunās komandas māksliniecisko darbību.</w:t>
            </w:r>
          </w:p>
          <w:p w14:paraId="54B61D6C" w14:textId="23ACEEAF"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Vietējā pakalpojumu tirgū (ar to saprotot Rīgu un Rīgas reģionu) regulāru darbību veic četras valsts kapitālsabiedrības, no kurām divas – VSIA </w:t>
            </w:r>
            <w:r w:rsidRPr="000B0104">
              <w:rPr>
                <w:rFonts w:ascii="Times New Roman" w:eastAsia="Times New Roman" w:hAnsi="Times New Roman" w:cs="Times New Roman"/>
                <w:color w:val="000000" w:themeColor="text1"/>
                <w:sz w:val="24"/>
                <w:szCs w:val="24"/>
                <w:lang w:eastAsia="lv-LV"/>
              </w:rPr>
              <w:t>„</w:t>
            </w:r>
            <w:r w:rsidRPr="005D6E17">
              <w:rPr>
                <w:rFonts w:ascii="Times New Roman" w:eastAsia="Times New Roman" w:hAnsi="Times New Roman" w:cs="Times New Roman"/>
                <w:color w:val="000000" w:themeColor="text1"/>
                <w:sz w:val="24"/>
                <w:szCs w:val="24"/>
                <w:lang w:eastAsia="lv-LV"/>
              </w:rPr>
              <w:t xml:space="preserve">Latvijas Nacionālais teātris” un VSIA </w:t>
            </w:r>
            <w:r w:rsidRPr="000B0104">
              <w:rPr>
                <w:rFonts w:ascii="Times New Roman" w:eastAsia="Times New Roman" w:hAnsi="Times New Roman" w:cs="Times New Roman"/>
                <w:color w:val="000000" w:themeColor="text1"/>
                <w:sz w:val="24"/>
                <w:szCs w:val="24"/>
                <w:lang w:eastAsia="lv-LV"/>
              </w:rPr>
              <w:t>„</w:t>
            </w:r>
            <w:r w:rsidRPr="005D6E17">
              <w:rPr>
                <w:rFonts w:ascii="Times New Roman" w:eastAsia="Times New Roman" w:hAnsi="Times New Roman" w:cs="Times New Roman"/>
                <w:color w:val="000000" w:themeColor="text1"/>
                <w:sz w:val="24"/>
                <w:szCs w:val="24"/>
                <w:lang w:eastAsia="lv-LV"/>
              </w:rPr>
              <w:t xml:space="preserve">Jaunais Rīgas teātris” – piedāvā formas un žanru ziņā līdzvērtīgu repertuāru. Visām šīm organizācijām ir pieejami vairāki spēles laukumi ar dažādu skatītāju ietilpību, kas dod iespēju veidot gan lielformāta izrādes, gan </w:t>
            </w:r>
            <w:proofErr w:type="spellStart"/>
            <w:r w:rsidRPr="005D6E17">
              <w:rPr>
                <w:rFonts w:ascii="Times New Roman" w:eastAsia="Times New Roman" w:hAnsi="Times New Roman" w:cs="Times New Roman"/>
                <w:color w:val="000000" w:themeColor="text1"/>
                <w:sz w:val="24"/>
                <w:szCs w:val="24"/>
                <w:lang w:eastAsia="lv-LV"/>
              </w:rPr>
              <w:t>kameriestudējumus</w:t>
            </w:r>
            <w:proofErr w:type="spellEnd"/>
            <w:r w:rsidRPr="005D6E17">
              <w:rPr>
                <w:rFonts w:ascii="Times New Roman" w:eastAsia="Times New Roman" w:hAnsi="Times New Roman" w:cs="Times New Roman"/>
                <w:color w:val="000000" w:themeColor="text1"/>
                <w:sz w:val="24"/>
                <w:szCs w:val="24"/>
                <w:lang w:eastAsia="lv-LV"/>
              </w:rPr>
              <w:t>.</w:t>
            </w:r>
          </w:p>
          <w:p w14:paraId="699392D2"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0B0104">
              <w:rPr>
                <w:rFonts w:ascii="Times New Roman" w:eastAsia="Times New Roman" w:hAnsi="Times New Roman" w:cs="Times New Roman"/>
                <w:color w:val="000000" w:themeColor="text1"/>
                <w:sz w:val="24"/>
                <w:szCs w:val="24"/>
                <w:lang w:eastAsia="lv-LV"/>
              </w:rPr>
              <w:t>Līdzās lielajiem valsts teātriem Rīgā ļoti aktīvi darbojas nevalstiskie teātri, kas skatītājiem piedā</w:t>
            </w:r>
            <w:r w:rsidRPr="00137BA9">
              <w:rPr>
                <w:rFonts w:ascii="Times New Roman" w:eastAsia="Times New Roman" w:hAnsi="Times New Roman" w:cs="Times New Roman"/>
                <w:color w:val="000000" w:themeColor="text1"/>
                <w:sz w:val="24"/>
                <w:szCs w:val="24"/>
                <w:lang w:eastAsia="lv-LV"/>
              </w:rPr>
              <w:t>vā mazās formas iestudējumus. Taču nevalstisko teātru darbība mēdz būt neregulāra, jo ir atkarīga no privāto kompāniju spējas piesaistīt izrādei nepieciešamo finansējumu un cilvēkresursus. Šo kompāniju izvēlētie spēles laukumi ir ar visai mazu skatītāju ie</w:t>
            </w:r>
            <w:r w:rsidRPr="000B0104">
              <w:rPr>
                <w:rFonts w:ascii="Times New Roman" w:eastAsia="Times New Roman" w:hAnsi="Times New Roman" w:cs="Times New Roman"/>
                <w:color w:val="000000" w:themeColor="text1"/>
                <w:sz w:val="24"/>
                <w:szCs w:val="24"/>
                <w:lang w:eastAsia="lv-LV"/>
              </w:rPr>
              <w:t>tilpību, kas nozīmē ierobežotas pakalpojuma saņemšanas iespējas publikai.</w:t>
            </w:r>
          </w:p>
          <w:p w14:paraId="5D747348"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Vietējo pakalpojumu tirgu veido arī viesizrāžu piedāvājums, ko nodrošina gan Latvijas reģionālie teātri, gan ārvalstu kompānijas. Minētājs piedāvājums ir visai neregulārs, tādēļ nevar tik uzskatīts par pietiekamu iedzīvotāju kultūras patēriņa nodrošinājumu. </w:t>
            </w:r>
          </w:p>
          <w:p w14:paraId="577767B3"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Kopumā secināms, ka vietējais pakalpojumu tirgus ir ļoti piesātināts, kas paaugstina konkurenci un labvēlīgi ietekmē produktu attīstību, veicinot to kvalitātes celšanos. Lielā piedāvājuma dažādība skatītājiem ļauj izvēlēties viņu interesēm un kultūras patēriņa vajadzībām atbilstošu produktu.</w:t>
            </w:r>
          </w:p>
        </w:tc>
      </w:tr>
      <w:tr w:rsidR="000B0104" w:rsidRPr="000B0104" w14:paraId="389A3DA5" w14:textId="77777777" w:rsidTr="00A162BA">
        <w:tc>
          <w:tcPr>
            <w:tcW w:w="4135" w:type="dxa"/>
            <w:shd w:val="clear" w:color="auto" w:fill="auto"/>
            <w:hideMark/>
          </w:tcPr>
          <w:p w14:paraId="07BC9EE7"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lastRenderedPageBreak/>
              <w:t>Vai pastāv kādi šķēršļi, kas liegtu konkrēto pakalpojumu iepirkt no privātajiem tirgus dalībniekiem.</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6A28C1A8"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Ņemot vērā minēto situāciju pakalpojuma tirgū, nevalstiskās teātra kompānijas šobrīd nespētu nodrošināt nepieciešamo teātra piedāvājuma daudzveidību un regularitāti. Nevienam no privātajiem tirgus dalībniekiem nav līdzvērtīgu resursu un kapacitātes, lai apkalpotu tik lielu skatītāju skaitu, kā rezultātā mazinātos auditorijas pieejamības iespējas teātra mākslai. </w:t>
            </w:r>
          </w:p>
        </w:tc>
      </w:tr>
      <w:tr w:rsidR="000B0104" w:rsidRPr="000B0104" w14:paraId="2AC2EE28" w14:textId="77777777" w:rsidTr="00A162BA">
        <w:tc>
          <w:tcPr>
            <w:tcW w:w="4135" w:type="dxa"/>
            <w:shd w:val="clear" w:color="auto" w:fill="auto"/>
            <w:hideMark/>
          </w:tcPr>
          <w:p w14:paraId="103BC733"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6055A45A" w14:textId="0BEC4827" w:rsidR="003559A0" w:rsidRPr="005D6E17" w:rsidRDefault="003559A0" w:rsidP="005D6E17">
            <w:pPr>
              <w:spacing w:after="0" w:line="240" w:lineRule="auto"/>
              <w:ind w:left="57" w:right="57" w:firstLine="680"/>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Latvijā dominējošais teātra modelis paredz mākslinieciskās darbības nodrošinājumu pastāvīgos spēles laukumos, kas nozīmē, ka teātra kolektīvs un tā apsaimniekotā ēka ir uztverams kā vienots veselums. Atbilstoši tirgus datiem šis ir uzskatāms arī par veiksmīgāko un ekonomiski izdevīgāko darbības modeli, jo vairums izrāžu Latvijā (497 no 668) iestudējuši teātri, kuriem ir savas telpas. No resursu apguves viedokļa teātri ar vairākiem vienā ēkā izvietotiem spēles laukumiem vai aktieru ansambļiem spēj labāk saplānot māksliniecisko darbību, veidojot vienmērīgu darbinieku noslodzi. DT rīcībā šobrīd ir trīs stacionārie spēles laukumi un atbilstošs mākslinieciskais un tehniskais personāls šī resursa pilnvērtīgai izmantošanai. DT uz vietas ir pieejams arī izrāžu sagatavošanai nepieciešamais personāls un tehniskais nodrošinājums, kas ilgtermiņā būtiski samazina jauniestudējumu izmaksas. DT pašu ieņēmumu īpatsvars pret kopējiem ieņēmumiem normālas darbības apstākļos veido 58%, </w:t>
            </w:r>
            <w:r w:rsidR="006E6A57" w:rsidRPr="005D6E17">
              <w:rPr>
                <w:rFonts w:ascii="Times New Roman" w:eastAsia="Times New Roman" w:hAnsi="Times New Roman" w:cs="Times New Roman"/>
                <w:color w:val="000000" w:themeColor="text1"/>
                <w:sz w:val="24"/>
                <w:szCs w:val="24"/>
                <w:lang w:eastAsia="lv-LV"/>
              </w:rPr>
              <w:t>C</w:t>
            </w:r>
            <w:r w:rsidR="006E6A57">
              <w:rPr>
                <w:rFonts w:ascii="Times New Roman" w:eastAsia="Times New Roman" w:hAnsi="Times New Roman" w:cs="Times New Roman"/>
                <w:color w:val="000000" w:themeColor="text1"/>
                <w:sz w:val="24"/>
                <w:szCs w:val="24"/>
                <w:lang w:eastAsia="lv-LV"/>
              </w:rPr>
              <w:t>o</w:t>
            </w:r>
            <w:r w:rsidR="006E6A57" w:rsidRPr="005D6E17">
              <w:rPr>
                <w:rFonts w:ascii="Times New Roman" w:eastAsia="Times New Roman" w:hAnsi="Times New Roman" w:cs="Times New Roman"/>
                <w:color w:val="000000" w:themeColor="text1"/>
                <w:sz w:val="24"/>
                <w:szCs w:val="24"/>
                <w:lang w:eastAsia="lv-LV"/>
              </w:rPr>
              <w:t>vid</w:t>
            </w:r>
            <w:r w:rsidRPr="005D6E17">
              <w:rPr>
                <w:rFonts w:ascii="Times New Roman" w:eastAsia="Times New Roman" w:hAnsi="Times New Roman" w:cs="Times New Roman"/>
                <w:color w:val="000000" w:themeColor="text1"/>
                <w:sz w:val="24"/>
                <w:szCs w:val="24"/>
                <w:lang w:eastAsia="lv-LV"/>
              </w:rPr>
              <w:t>-19 izraisītās pandēmijas laikā procentuālais pašu ieņēmumu īpatsvars kritās līdz 26%.</w:t>
            </w:r>
          </w:p>
          <w:p w14:paraId="508EECB5" w14:textId="0298A723"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DT visai bieži savas telpas iznomā citiem tirgus dalībniekiem gan teātru, gan koncertu organizēšanai. Īpaši svarīgi tas ir apstākļos, kad Rīgā nav brīvi pieejamas lielās zāles skatuves, kas būtu izmantojama viesizrāžu vajadzībām.</w:t>
            </w:r>
          </w:p>
          <w:p w14:paraId="161BB7B2"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Analizējot visus teātra nozares tirgus dalībniekus, redzams, ka publiskie pakalpojumu sniedzēji, kas </w:t>
            </w:r>
            <w:proofErr w:type="gramStart"/>
            <w:r w:rsidRPr="005D6E17">
              <w:rPr>
                <w:rFonts w:ascii="Times New Roman" w:eastAsia="Times New Roman" w:hAnsi="Times New Roman" w:cs="Times New Roman"/>
                <w:color w:val="000000" w:themeColor="text1"/>
                <w:sz w:val="24"/>
                <w:szCs w:val="24"/>
                <w:lang w:eastAsia="lv-LV"/>
              </w:rPr>
              <w:t>2019.gadā</w:t>
            </w:r>
            <w:proofErr w:type="gramEnd"/>
            <w:r w:rsidRPr="005D6E17">
              <w:rPr>
                <w:rFonts w:ascii="Times New Roman" w:eastAsia="Times New Roman" w:hAnsi="Times New Roman" w:cs="Times New Roman"/>
                <w:color w:val="000000" w:themeColor="text1"/>
                <w:sz w:val="24"/>
                <w:szCs w:val="24"/>
                <w:lang w:eastAsia="lv-LV"/>
              </w:rPr>
              <w:t xml:space="preserve"> veidoja 16,3% no kopējā nozares dalībnieku tirgus, sniedza 54% no kopējā gada laikā teātros nospēlēto izrāžu apjoma, apkalpojot 66% no visiem skatītājiem. Minētie dati liecina par labu resursu pārvaldību. Pārtraucot valsts līdzdalību teātru darbībā, palielinātos nozares sadrumstalotība, kas atstātu ietekmi uz produktu kvalitāti un apkalpotās auditorijas apjomu. </w:t>
            </w:r>
          </w:p>
          <w:p w14:paraId="4062D645"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Valsts dažādos veidos sniedz papildu atbalstu nozarei ar Valsts </w:t>
            </w:r>
            <w:proofErr w:type="gramStart"/>
            <w:r w:rsidRPr="005D6E17">
              <w:rPr>
                <w:rFonts w:ascii="Times New Roman" w:eastAsia="Times New Roman" w:hAnsi="Times New Roman" w:cs="Times New Roman"/>
                <w:color w:val="000000" w:themeColor="text1"/>
                <w:sz w:val="24"/>
                <w:szCs w:val="24"/>
                <w:lang w:eastAsia="lv-LV"/>
              </w:rPr>
              <w:t>kultūrkapitāla fonda</w:t>
            </w:r>
            <w:proofErr w:type="gramEnd"/>
            <w:r w:rsidRPr="005D6E17">
              <w:rPr>
                <w:rFonts w:ascii="Times New Roman" w:eastAsia="Times New Roman" w:hAnsi="Times New Roman" w:cs="Times New Roman"/>
                <w:color w:val="000000" w:themeColor="text1"/>
                <w:sz w:val="24"/>
                <w:szCs w:val="24"/>
                <w:lang w:eastAsia="lv-LV"/>
              </w:rPr>
              <w:t xml:space="preserve"> projektu un Kultūras ministrijas starpniecību, atbalstot radošo stipendiju piešķiršanu dramaturgiem, režisoriem, scenogrāfiem, sniedzot atbalstu jaunu projektu tapšanai, taču šis atbalsts nerada apstākļus, kas veicinātu tādu nozares dalībnieku rašanos, kas varētu pārņemt vai īstenot apjomīgas kultūrpolitikas funkcijas un apkalpot plašu auditoriju.</w:t>
            </w:r>
          </w:p>
        </w:tc>
      </w:tr>
      <w:tr w:rsidR="000B0104" w:rsidRPr="000B0104" w14:paraId="1EDE041B" w14:textId="77777777" w:rsidTr="00A162BA">
        <w:tc>
          <w:tcPr>
            <w:tcW w:w="4135" w:type="dxa"/>
            <w:shd w:val="clear" w:color="auto" w:fill="auto"/>
            <w:hideMark/>
          </w:tcPr>
          <w:p w14:paraId="13374D40"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publiskas personas lēmums par līdzdalību PPK (tai skaitā, darbības paplašināšanu) nelikvidē stimulu privātās uzņēmējdarbības attīstībai gan konkrētās preces/pakalpojuma sniegšanā, gan plašākā kontekstā.</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4B9B4620"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Nē, ņemto vērā, </w:t>
            </w:r>
            <w:proofErr w:type="gramStart"/>
            <w:r w:rsidRPr="005D6E17">
              <w:rPr>
                <w:rFonts w:ascii="Times New Roman" w:eastAsia="Times New Roman" w:hAnsi="Times New Roman" w:cs="Times New Roman"/>
                <w:color w:val="000000" w:themeColor="text1"/>
                <w:sz w:val="24"/>
                <w:szCs w:val="24"/>
                <w:lang w:eastAsia="lv-LV"/>
              </w:rPr>
              <w:t>ka pakalpojumu tirgus ir ļoti piesātināts un publiskās personas</w:t>
            </w:r>
            <w:proofErr w:type="gramEnd"/>
            <w:r w:rsidRPr="005D6E17">
              <w:rPr>
                <w:rFonts w:ascii="Times New Roman" w:eastAsia="Times New Roman" w:hAnsi="Times New Roman" w:cs="Times New Roman"/>
                <w:color w:val="000000" w:themeColor="text1"/>
                <w:sz w:val="24"/>
                <w:szCs w:val="24"/>
                <w:lang w:eastAsia="lv-LV"/>
              </w:rPr>
              <w:t xml:space="preserve"> atrašanās tirgū uzskatāma par konkurenci veicinošu apstākli, kas labvēlīgi ietekmē produktu attīstību un stimulē to kvalitātes celšanos. Minētie apstākļi sekmē arī inovāciju rašanos un jaunu produktu ienākšanu tirgū.</w:t>
            </w:r>
          </w:p>
        </w:tc>
      </w:tr>
      <w:tr w:rsidR="000B0104" w:rsidRPr="000B0104" w14:paraId="6AB15B5B" w14:textId="77777777" w:rsidTr="00A162BA">
        <w:tc>
          <w:tcPr>
            <w:tcW w:w="4135" w:type="dxa"/>
            <w:shd w:val="clear" w:color="auto" w:fill="auto"/>
            <w:hideMark/>
          </w:tcPr>
          <w:p w14:paraId="4650486A"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konkrētā pakalpojuma sniegšanā ir novērojama pilnīga vai daļēja tirgus nepilnība. Vai šī nepilnība nav publiskas personas darbības sekas. Vai pastāv alternatīvie tirgus nepilnības novēršanas instrumenti.</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10F6E4BA" w14:textId="355093B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Konkrētā pakalpojuma sniegšanā nav novērojuma tirgus nepilnība. Valsts līdzdalība kapitālsabiedrībā sniedz būtisku ieguldījumu kultūras patēriņa vajadzību apmierināšanā. Esošā situācija ir dabiska ikvienas kultūras nozares pazīme, kuru attīstībai nepieciešama konsekventa valsts intervence, valsts kultūrpolitikas instrumenti un finansējums, jo tā nekomerciālā rakstura dēļ nevar darboties brīvā tirgus apstākļos. Lai sasniegtu augstvērtīgu māksliniecisko rezultātu, kā arī nodrošinātu repertuāra daudzveidību, teātrim ir nepieciešama spēcīga radoša komanda ar vienotiem mākslinieciskiem mērķiem. DT jaunā mākslinieciskā vadība aktīvi strādā pie saliedētas radošās komandas izveides, kas turpinātu 100</w:t>
            </w:r>
            <w:r w:rsidR="006E6A57">
              <w:rPr>
                <w:rFonts w:ascii="Times New Roman" w:eastAsia="Times New Roman" w:hAnsi="Times New Roman" w:cs="Times New Roman"/>
                <w:color w:val="000000" w:themeColor="text1"/>
                <w:sz w:val="24"/>
                <w:szCs w:val="24"/>
                <w:lang w:eastAsia="lv-LV"/>
              </w:rPr>
              <w:t> </w:t>
            </w:r>
            <w:r w:rsidRPr="005D6E17">
              <w:rPr>
                <w:rFonts w:ascii="Times New Roman" w:eastAsia="Times New Roman" w:hAnsi="Times New Roman" w:cs="Times New Roman"/>
                <w:color w:val="000000" w:themeColor="text1"/>
                <w:sz w:val="24"/>
                <w:szCs w:val="24"/>
                <w:lang w:eastAsia="lv-LV"/>
              </w:rPr>
              <w:t>gadus ilgo DT vēsturi. Sekmīga teātra un visas nozares attīstība iespējama tikai, nodrošinot stabilu māksliniecisko kolektīvu izveidi un pastāvēšanu, kam nepieciešamas ilgtermiņa investīcijas. Teātra nozares atbalstam nav identificējami citi alternatīvi tirgus nepilnību novēršanas instrumenti.</w:t>
            </w:r>
          </w:p>
        </w:tc>
      </w:tr>
      <w:tr w:rsidR="000B0104" w:rsidRPr="000B0104" w14:paraId="0088BF35" w14:textId="77777777" w:rsidTr="00A162BA">
        <w:tc>
          <w:tcPr>
            <w:tcW w:w="4135" w:type="dxa"/>
            <w:shd w:val="clear" w:color="auto" w:fill="auto"/>
            <w:hideMark/>
          </w:tcPr>
          <w:p w14:paraId="310A9D35"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pastāv kādi drošības riski nodot pakalpojuma sniegšanu privātā sektora tirgus dalībniekiem. Kādi un cik būtiski ir konkrētie riski un, vai pastāv alternatīvi veidi, kā tos samazināt vai novērst.</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7F3DCA59"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Nododot pakalpojumu sniegšanu privātiem tirgus dalībniekiem, pastāv risks būtiski samazināt auditorijas iespējas saņem kvalitatīvu, daudzveidīgu teātra piedāvājumu. </w:t>
            </w:r>
          </w:p>
        </w:tc>
      </w:tr>
      <w:tr w:rsidR="000B0104" w:rsidRPr="000B0104" w14:paraId="0F763193" w14:textId="77777777" w:rsidTr="00A162BA">
        <w:tc>
          <w:tcPr>
            <w:tcW w:w="4135" w:type="dxa"/>
            <w:shd w:val="clear" w:color="auto" w:fill="auto"/>
            <w:hideMark/>
          </w:tcPr>
          <w:p w14:paraId="191C05EF"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631C65B5"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Publiskas personas iesaiste DT sekmē konkurenci un labvēlīgi ietekmē produktu attīstību, veicinot to kvalitātes celšanos.</w:t>
            </w:r>
          </w:p>
          <w:p w14:paraId="5376CBD3" w14:textId="77777777" w:rsidR="003559A0" w:rsidRPr="005D6E17" w:rsidRDefault="003559A0" w:rsidP="005D6E17">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DT rīcībā nodotā ēka sniedz iespēju šīs telpas gan lietot DT, gan iznomāt tās citiem profesionālajiem teātriem. Īpaši svarīgi tas ir apstākļos, kad Rīgā nav brīvi pieejamas lielās zāles skatuves, kas būtu izmantojama viesizrāžu vai nevalstisko teātru vajadzībām. Nozarē pastāvošā konkurence sekmē arī inovāciju rašanos un jaunu produktu ienākšanu tirgū.</w:t>
            </w:r>
          </w:p>
        </w:tc>
      </w:tr>
      <w:tr w:rsidR="000B0104" w:rsidRPr="000B0104" w14:paraId="1F24010B" w14:textId="77777777" w:rsidTr="00A162BA">
        <w:tc>
          <w:tcPr>
            <w:tcW w:w="4135" w:type="dxa"/>
            <w:shd w:val="clear" w:color="auto" w:fill="auto"/>
            <w:hideMark/>
          </w:tcPr>
          <w:p w14:paraId="445898A9"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Kādas (tai skaitā, cik būtiskas) būtu iespējamās ilgtermiņa sekas uz patērētājiem, ja publiska persona neturpinātu komercdarbību. Vai tas radītu lielāku zaudējumu patērētājam, nekā darbības turpināšana tirgū.</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15E57772" w14:textId="6F3F92D5"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Ieguldījums teātra darbībā vienmēr ir uzlūkojams par ilgtermiņa investīciju, ņemot vērā, ka spēcīgs mākslinieciskais ansamblis veidojas ilglaicīgas sadarbības rezultātā. Latvijā dominējošais ir repertuāra teātra modelis, kas balstās uz pastāvīgu aktieru ansambli, kurš spēj nodrošināt daudzveidīgu repertuāru. Šāda ansambļa un tā individuālā mākslinieciskā rokraksta izveidei ir nepieciešams ilgstošs darbs. Tādēļ teātra pastāvēšanā ir nepieciešams ilgtermiņa finansējums un prognozējamība. Neturpinot valsts līdzdalību DT, tiktu pārtraukts darbs pie radošā kolektīva izveides. Pastāv iespēja, ka daļa šo mākslinieku atrastu darbu citos profesionālajos teātros, taču kolektīvs ar 100</w:t>
            </w:r>
            <w:r w:rsidR="006E6A57">
              <w:rPr>
                <w:rFonts w:ascii="Times New Roman" w:eastAsia="Times New Roman" w:hAnsi="Times New Roman" w:cs="Times New Roman"/>
                <w:color w:val="000000" w:themeColor="text1"/>
                <w:sz w:val="24"/>
                <w:szCs w:val="24"/>
                <w:lang w:eastAsia="lv-LV"/>
              </w:rPr>
              <w:t> </w:t>
            </w:r>
            <w:r w:rsidRPr="005D6E17">
              <w:rPr>
                <w:rFonts w:ascii="Times New Roman" w:eastAsia="Times New Roman" w:hAnsi="Times New Roman" w:cs="Times New Roman"/>
                <w:color w:val="000000" w:themeColor="text1"/>
                <w:sz w:val="24"/>
                <w:szCs w:val="24"/>
                <w:lang w:eastAsia="lv-LV"/>
              </w:rPr>
              <w:t>gadus ilgām tradīcijām tiktu neatgriezeniski iznīcināts. Straujas finansējuma modeļa izmaiņas var ne tikai sagraut konkrēto komersantu, bet radīt negatīvas sekas teātra piedāvājumā kopumā. Rezultātā tiktu negatīvi ietekmētas Latvijas iedzīvotāju kultūras patēriņa iespējas.</w:t>
            </w:r>
          </w:p>
        </w:tc>
      </w:tr>
      <w:tr w:rsidR="000B0104" w:rsidRPr="000B0104" w14:paraId="7C838758" w14:textId="77777777" w:rsidTr="00A162BA">
        <w:tc>
          <w:tcPr>
            <w:tcW w:w="4135" w:type="dxa"/>
            <w:shd w:val="clear" w:color="auto" w:fill="auto"/>
            <w:hideMark/>
          </w:tcPr>
          <w:p w14:paraId="4348D86A"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5CA3370B" w14:textId="74F0E92D"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xml:space="preserve">Nē, publiskas personas iesaiste DT neabsorbē kapitālu un cilvēkresursus, bet tos attīstīta un nodarbina. Par to liecina teātri apkalpojošo nozaru attīstība, par kādu uzskatāma, piemēram, biļešu tirdzniecība. Mākslinieciskā un tehniskā personāla izmantojumā vērojama plaša sadarbība starp publisko un privāto sektoru, kas sekmē kopējā profesionāla līmeņa izaugsmi nozarē. </w:t>
            </w:r>
          </w:p>
        </w:tc>
      </w:tr>
      <w:tr w:rsidR="000B0104" w:rsidRPr="000B0104" w14:paraId="69E30383" w14:textId="77777777" w:rsidTr="00A162BA">
        <w:tc>
          <w:tcPr>
            <w:tcW w:w="4135" w:type="dxa"/>
            <w:shd w:val="clear" w:color="auto" w:fill="auto"/>
            <w:hideMark/>
          </w:tcPr>
          <w:p w14:paraId="5CEC3FD1"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un cik būtiski publiskas personas iesaiste komercdarbībā negatīvi ietekmēs privātā sektora inovācijas un attīstību jebkurā no tirgiem, ko PPK darbība varētu ietekmēt/skart.</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6E5910B6"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Publiskas personas iesaiste komercdarbībā pozitīvi ietekmē nozares tirgus pakalpojumus un dalībniekus, veicinot to radīto produktu daudzveidību un māksliniecisko kvalitāti. Kopējā teātra tirgus piesātinājums sekmē konkurenci, inovāciju rašanos un mākslinieciskās kvalitātes izaugsmi.</w:t>
            </w:r>
          </w:p>
        </w:tc>
      </w:tr>
      <w:tr w:rsidR="000B0104" w:rsidRPr="000B0104" w14:paraId="52D0184E" w14:textId="77777777" w:rsidTr="00A162BA">
        <w:tc>
          <w:tcPr>
            <w:tcW w:w="4135" w:type="dxa"/>
            <w:shd w:val="clear" w:color="auto" w:fill="auto"/>
            <w:hideMark/>
          </w:tcPr>
          <w:p w14:paraId="450A99EC"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42BFCAB3"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Ikgadējs valsts dotāciju apjoms DT tuvāko piecu gadu laikā plānots ~2 900 000 </w:t>
            </w:r>
            <w:r w:rsidRPr="005D6E17">
              <w:rPr>
                <w:rFonts w:ascii="Times New Roman" w:eastAsia="Times New Roman" w:hAnsi="Times New Roman" w:cs="Times New Roman"/>
                <w:i/>
                <w:iCs/>
                <w:color w:val="000000" w:themeColor="text1"/>
                <w:sz w:val="24"/>
                <w:szCs w:val="24"/>
                <w:lang w:eastAsia="lv-LV"/>
              </w:rPr>
              <w:t>euro</w:t>
            </w:r>
            <w:r w:rsidRPr="005D6E17">
              <w:rPr>
                <w:rFonts w:ascii="Times New Roman" w:eastAsia="Times New Roman" w:hAnsi="Times New Roman" w:cs="Times New Roman"/>
                <w:color w:val="000000" w:themeColor="text1"/>
                <w:sz w:val="24"/>
                <w:szCs w:val="24"/>
                <w:lang w:eastAsia="lv-LV"/>
              </w:rPr>
              <w:t xml:space="preserve"> apmērā, kas ietver mākslinieciskās darbības nodrošināšanu. Investīcijas ir atbilstošas valsts deleģētajam uzdevumam.</w:t>
            </w:r>
          </w:p>
        </w:tc>
      </w:tr>
      <w:tr w:rsidR="000B0104" w:rsidRPr="000B0104" w14:paraId="48646F7C" w14:textId="77777777" w:rsidTr="00A162BA">
        <w:tc>
          <w:tcPr>
            <w:tcW w:w="4135" w:type="dxa"/>
            <w:shd w:val="clear" w:color="auto" w:fill="auto"/>
            <w:hideMark/>
          </w:tcPr>
          <w:p w14:paraId="14415C07"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2A743D67"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Jā, ir veiktas konsultācijas ar teātra nozares organizācijām – Latvijas Teātra darbinieku savienību, kas paudusi atbalstu DT darbībai.</w:t>
            </w:r>
          </w:p>
        </w:tc>
      </w:tr>
      <w:tr w:rsidR="000B0104" w:rsidRPr="000B0104" w14:paraId="03C56F64" w14:textId="77777777" w:rsidTr="00A162BA">
        <w:tc>
          <w:tcPr>
            <w:tcW w:w="4135" w:type="dxa"/>
            <w:shd w:val="clear" w:color="auto" w:fill="auto"/>
            <w:hideMark/>
          </w:tcPr>
          <w:p w14:paraId="5015C46F" w14:textId="77777777"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b/>
                <w:bCs/>
                <w:color w:val="000000" w:themeColor="text1"/>
                <w:sz w:val="24"/>
                <w:szCs w:val="24"/>
                <w:lang w:eastAsia="lv-LV"/>
              </w:rPr>
              <w:t xml:space="preserve">Vai publiskā persona ir veikusi ietekmes uz konkurenci izvērtējumu (konkurences situācijas novērtējums, </w:t>
            </w:r>
            <w:proofErr w:type="gramStart"/>
            <w:r w:rsidRPr="005D6E17">
              <w:rPr>
                <w:rFonts w:ascii="Times New Roman" w:eastAsia="Times New Roman" w:hAnsi="Times New Roman" w:cs="Times New Roman"/>
                <w:b/>
                <w:bCs/>
                <w:color w:val="000000" w:themeColor="text1"/>
                <w:sz w:val="24"/>
                <w:szCs w:val="24"/>
                <w:lang w:eastAsia="lv-LV"/>
              </w:rPr>
              <w:t>kas sevī ietver</w:t>
            </w:r>
            <w:proofErr w:type="gramEnd"/>
            <w:r w:rsidRPr="005D6E17">
              <w:rPr>
                <w:rFonts w:ascii="Times New Roman" w:eastAsia="Times New Roman" w:hAnsi="Times New Roman" w:cs="Times New Roman"/>
                <w:b/>
                <w:bCs/>
                <w:color w:val="000000" w:themeColor="text1"/>
                <w:sz w:val="24"/>
                <w:szCs w:val="24"/>
                <w:lang w:eastAsia="lv-LV"/>
              </w:rPr>
              <w:t>, piemēram, apzināt tirgū esošos komersantus, pakalpojumu/preču pieejamība, iespējamās tirgus barjeras), identificējot konkurencei draudzīgāko risinājumu.</w:t>
            </w:r>
            <w:r w:rsidRPr="005D6E17">
              <w:rPr>
                <w:rFonts w:ascii="Times New Roman" w:eastAsia="Times New Roman" w:hAnsi="Times New Roman" w:cs="Times New Roman"/>
                <w:color w:val="000000" w:themeColor="text1"/>
                <w:sz w:val="24"/>
                <w:szCs w:val="24"/>
                <w:lang w:eastAsia="lv-LV"/>
              </w:rPr>
              <w:t>  </w:t>
            </w:r>
          </w:p>
        </w:tc>
        <w:tc>
          <w:tcPr>
            <w:tcW w:w="4788" w:type="dxa"/>
            <w:shd w:val="clear" w:color="auto" w:fill="auto"/>
            <w:hideMark/>
          </w:tcPr>
          <w:p w14:paraId="6E1DAEBD" w14:textId="19DDAAC5" w:rsidR="003559A0" w:rsidRPr="005D6E17" w:rsidRDefault="003559A0" w:rsidP="005D6E17">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0B0104">
              <w:rPr>
                <w:rFonts w:ascii="Times New Roman" w:eastAsia="Times New Roman" w:hAnsi="Times New Roman" w:cs="Times New Roman"/>
                <w:color w:val="000000" w:themeColor="text1"/>
                <w:sz w:val="24"/>
                <w:szCs w:val="24"/>
                <w:lang w:eastAsia="lv-LV"/>
              </w:rPr>
              <w:t>Jā, Kultūras ministrija</w:t>
            </w:r>
            <w:r w:rsidRPr="00137BA9">
              <w:rPr>
                <w:rFonts w:ascii="Times New Roman" w:eastAsia="Times New Roman" w:hAnsi="Times New Roman" w:cs="Times New Roman"/>
                <w:color w:val="000000" w:themeColor="text1"/>
                <w:sz w:val="24"/>
                <w:szCs w:val="24"/>
                <w:lang w:eastAsia="lv-LV"/>
              </w:rPr>
              <w:t xml:space="preserve"> </w:t>
            </w:r>
            <w:proofErr w:type="gramStart"/>
            <w:r w:rsidRPr="00137BA9">
              <w:rPr>
                <w:rFonts w:ascii="Times New Roman" w:eastAsia="Times New Roman" w:hAnsi="Times New Roman" w:cs="Times New Roman"/>
                <w:color w:val="000000" w:themeColor="text1"/>
                <w:sz w:val="24"/>
                <w:szCs w:val="24"/>
                <w:lang w:eastAsia="lv-LV"/>
              </w:rPr>
              <w:t>2020.gadā</w:t>
            </w:r>
            <w:proofErr w:type="gramEnd"/>
            <w:r w:rsidRPr="00137BA9">
              <w:rPr>
                <w:rFonts w:ascii="Times New Roman" w:eastAsia="Times New Roman" w:hAnsi="Times New Roman" w:cs="Times New Roman"/>
                <w:color w:val="000000" w:themeColor="text1"/>
                <w:sz w:val="24"/>
                <w:szCs w:val="24"/>
                <w:lang w:eastAsia="lv-LV"/>
              </w:rPr>
              <w:t xml:space="preserve"> </w:t>
            </w:r>
            <w:r w:rsidRPr="006E6A57">
              <w:rPr>
                <w:rFonts w:ascii="Times New Roman" w:eastAsia="Times New Roman" w:hAnsi="Times New Roman" w:cs="Times New Roman"/>
                <w:color w:val="000000" w:themeColor="text1"/>
                <w:sz w:val="24"/>
                <w:szCs w:val="24"/>
                <w:lang w:eastAsia="lv-LV"/>
              </w:rPr>
              <w:t xml:space="preserve">sadarbībā ar Latvijas Kultūras akadēmiju un SIA </w:t>
            </w:r>
            <w:r w:rsidRPr="000B0104">
              <w:rPr>
                <w:rFonts w:ascii="Times New Roman" w:eastAsia="Times New Roman" w:hAnsi="Times New Roman" w:cs="Times New Roman"/>
                <w:color w:val="000000" w:themeColor="text1"/>
                <w:sz w:val="24"/>
                <w:szCs w:val="24"/>
                <w:lang w:eastAsia="lv-LV"/>
              </w:rPr>
              <w:t xml:space="preserve">„Analītisko pētījumu un stratēģiju laboratorija” veikusi profesionālā teātra un mūzikas mākslas jomas izvērtējumu, kā arī Kultūras ministrija pastāvīgi uzrauga situāciju nozarē, analizējot atsevišķo tirgus dalībnieku darbības specifiku, tirgus segmentus un attīstības instrumentus. Kultūras ministrijā darbojas Latvijas Teātra padome, kas sevī apvieno gan valsts kapitālsabiedrību, gan nevalstiskā sektora pārstāvjus, gan nozares dalībnieku pārstāvošas biedrības un starptautisku </w:t>
            </w:r>
            <w:r w:rsidR="00A43FD0" w:rsidRPr="005D6E17">
              <w:rPr>
                <w:rFonts w:ascii="Times New Roman" w:eastAsia="Times New Roman" w:hAnsi="Times New Roman" w:cs="Times New Roman"/>
                <w:color w:val="000000" w:themeColor="text1"/>
                <w:sz w:val="24"/>
                <w:szCs w:val="24"/>
                <w:lang w:eastAsia="lv-LV"/>
              </w:rPr>
              <w:t xml:space="preserve">profesionālo organizāciju Latvijas teritoriālās vienības, gan citus ar nozari saistītus ekspertus, kas analizē situāciju nozarē un sniedz priekšlikumus kultūrpolitikas veidošanai un īstenošanai, tai skaitā piedaloties Teātra nozares stratēģijas 2014.-2020.gadam un Kultūrpolitikas </w:t>
            </w:r>
            <w:r w:rsidR="00A43FD0" w:rsidRPr="000B0104">
              <w:rPr>
                <w:rFonts w:ascii="Times New Roman" w:eastAsia="Times New Roman" w:hAnsi="Times New Roman" w:cs="Times New Roman"/>
                <w:color w:val="000000" w:themeColor="text1"/>
                <w:sz w:val="24"/>
                <w:szCs w:val="24"/>
                <w:lang w:eastAsia="lv-LV"/>
              </w:rPr>
              <w:t>pamatnostādņu 2022.-2027.gadam „Kultūrvalsts”</w:t>
            </w:r>
            <w:r w:rsidR="00A43FD0" w:rsidRPr="005D6E17">
              <w:rPr>
                <w:rFonts w:ascii="Times New Roman" w:eastAsia="Times New Roman" w:hAnsi="Times New Roman" w:cs="Times New Roman"/>
                <w:color w:val="000000" w:themeColor="text1"/>
                <w:sz w:val="24"/>
                <w:szCs w:val="24"/>
                <w:lang w:eastAsia="lv-LV"/>
              </w:rPr>
              <w:t xml:space="preserve"> (apstiprinātas ar Ministru kabineta 2022.gada 1.marta rīkojumu Nr.143) izstrādē.</w:t>
            </w:r>
          </w:p>
        </w:tc>
      </w:tr>
    </w:tbl>
    <w:p w14:paraId="360A5DA2" w14:textId="484F0401" w:rsidR="005A62BC" w:rsidRPr="005D6E17" w:rsidRDefault="001D61C9" w:rsidP="000B0104">
      <w:pPr>
        <w:spacing w:after="0" w:line="240" w:lineRule="auto"/>
        <w:textAlignment w:val="baseline"/>
        <w:rPr>
          <w:rFonts w:ascii="Times New Roman" w:eastAsia="Times New Roman" w:hAnsi="Times New Roman" w:cs="Times New Roman"/>
          <w:color w:val="000000" w:themeColor="text1"/>
          <w:sz w:val="24"/>
          <w:szCs w:val="24"/>
          <w:lang w:eastAsia="lv-LV"/>
        </w:rPr>
      </w:pPr>
      <w:r w:rsidRPr="005D6E17">
        <w:rPr>
          <w:rFonts w:ascii="Times New Roman" w:eastAsia="Times New Roman" w:hAnsi="Times New Roman" w:cs="Times New Roman"/>
          <w:color w:val="000000" w:themeColor="text1"/>
          <w:sz w:val="24"/>
          <w:szCs w:val="24"/>
          <w:lang w:eastAsia="lv-LV"/>
        </w:rPr>
        <w:t> </w:t>
      </w:r>
    </w:p>
    <w:p w14:paraId="3AFEF36F" w14:textId="68094F42" w:rsidR="00711056" w:rsidRPr="005D6E17" w:rsidRDefault="00711056" w:rsidP="000B0104">
      <w:pPr>
        <w:spacing w:after="0" w:line="240" w:lineRule="auto"/>
        <w:rPr>
          <w:rFonts w:ascii="Times New Roman" w:eastAsia="Times New Roman" w:hAnsi="Times New Roman" w:cs="Times New Roman"/>
          <w:bCs/>
          <w:color w:val="000000" w:themeColor="text1"/>
          <w:sz w:val="24"/>
          <w:szCs w:val="24"/>
        </w:rPr>
      </w:pPr>
    </w:p>
    <w:sectPr w:rsidR="00711056" w:rsidRPr="005D6E17" w:rsidSect="00DB246F">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3728" w14:textId="77777777" w:rsidR="00B945D1" w:rsidRDefault="00B945D1" w:rsidP="00B945D1">
      <w:pPr>
        <w:spacing w:after="0" w:line="240" w:lineRule="auto"/>
      </w:pPr>
      <w:r>
        <w:separator/>
      </w:r>
    </w:p>
  </w:endnote>
  <w:endnote w:type="continuationSeparator" w:id="0">
    <w:p w14:paraId="0188EDDD" w14:textId="77777777" w:rsidR="00B945D1" w:rsidRDefault="00B945D1"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2C632593" w:rsidR="00B945D1" w:rsidRPr="00DB246F" w:rsidRDefault="00E47BD2">
    <w:pPr>
      <w:pStyle w:val="Kjene"/>
      <w:rPr>
        <w:sz w:val="20"/>
        <w:szCs w:val="20"/>
      </w:rPr>
    </w:pPr>
    <w:r w:rsidRPr="00E47BD2">
      <w:rPr>
        <w:rFonts w:ascii="Times New Roman" w:hAnsi="Times New Roman" w:cs="Times New Roman"/>
        <w:sz w:val="20"/>
        <w:szCs w:val="20"/>
      </w:rPr>
      <w:t>KMAnotp02_270722_lidzdaliba_visp_strateg_merkis_DT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4124C399" w:rsidR="00711056" w:rsidRPr="00DB246F" w:rsidRDefault="00E47BD2">
    <w:pPr>
      <w:pStyle w:val="Kjene"/>
      <w:rPr>
        <w:sz w:val="20"/>
        <w:szCs w:val="20"/>
      </w:rPr>
    </w:pPr>
    <w:r w:rsidRPr="00E47BD2">
      <w:rPr>
        <w:rFonts w:ascii="Times New Roman" w:hAnsi="Times New Roman" w:cs="Times New Roman"/>
        <w:sz w:val="20"/>
        <w:szCs w:val="20"/>
      </w:rPr>
      <w:t>KMAnotp02_270722_lidzdaliba_visp_strateg_merkis_DT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06A2" w14:textId="77777777" w:rsidR="00B945D1" w:rsidRDefault="00B945D1" w:rsidP="00B945D1">
      <w:pPr>
        <w:spacing w:after="0" w:line="240" w:lineRule="auto"/>
      </w:pPr>
      <w:r>
        <w:separator/>
      </w:r>
    </w:p>
  </w:footnote>
  <w:footnote w:type="continuationSeparator" w:id="0">
    <w:p w14:paraId="705C346B" w14:textId="77777777" w:rsidR="00B945D1" w:rsidRDefault="00B945D1"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20CE4"/>
    <w:rsid w:val="000B0104"/>
    <w:rsid w:val="00117A02"/>
    <w:rsid w:val="00122C2F"/>
    <w:rsid w:val="00137BA9"/>
    <w:rsid w:val="0014734F"/>
    <w:rsid w:val="001A2403"/>
    <w:rsid w:val="001B0008"/>
    <w:rsid w:val="001D61C9"/>
    <w:rsid w:val="001E0E14"/>
    <w:rsid w:val="002A1882"/>
    <w:rsid w:val="002E0B88"/>
    <w:rsid w:val="00323C9B"/>
    <w:rsid w:val="00337EEE"/>
    <w:rsid w:val="003559A0"/>
    <w:rsid w:val="0039258E"/>
    <w:rsid w:val="00393DDC"/>
    <w:rsid w:val="004261D4"/>
    <w:rsid w:val="004A3ECA"/>
    <w:rsid w:val="0050116D"/>
    <w:rsid w:val="00514EEC"/>
    <w:rsid w:val="0056752A"/>
    <w:rsid w:val="00594570"/>
    <w:rsid w:val="005A62BC"/>
    <w:rsid w:val="005D6E17"/>
    <w:rsid w:val="005E38DD"/>
    <w:rsid w:val="00600139"/>
    <w:rsid w:val="00672221"/>
    <w:rsid w:val="006B17E7"/>
    <w:rsid w:val="006C1A92"/>
    <w:rsid w:val="006E6A57"/>
    <w:rsid w:val="00711056"/>
    <w:rsid w:val="00712AE6"/>
    <w:rsid w:val="007158DC"/>
    <w:rsid w:val="00747A7F"/>
    <w:rsid w:val="00747A9A"/>
    <w:rsid w:val="0076378E"/>
    <w:rsid w:val="0077470C"/>
    <w:rsid w:val="00822BDD"/>
    <w:rsid w:val="008865DC"/>
    <w:rsid w:val="008D6EE8"/>
    <w:rsid w:val="008F7D2D"/>
    <w:rsid w:val="00961966"/>
    <w:rsid w:val="009674BA"/>
    <w:rsid w:val="00970BB1"/>
    <w:rsid w:val="0099346D"/>
    <w:rsid w:val="009B1249"/>
    <w:rsid w:val="009D49EC"/>
    <w:rsid w:val="00A0030A"/>
    <w:rsid w:val="00A03560"/>
    <w:rsid w:val="00A43FD0"/>
    <w:rsid w:val="00A63D9F"/>
    <w:rsid w:val="00AC443A"/>
    <w:rsid w:val="00AF06E6"/>
    <w:rsid w:val="00B67C61"/>
    <w:rsid w:val="00B945D1"/>
    <w:rsid w:val="00BC2B75"/>
    <w:rsid w:val="00C25E19"/>
    <w:rsid w:val="00C91820"/>
    <w:rsid w:val="00CC0DD6"/>
    <w:rsid w:val="00D1510D"/>
    <w:rsid w:val="00D749B5"/>
    <w:rsid w:val="00DA78A2"/>
    <w:rsid w:val="00DB246F"/>
    <w:rsid w:val="00DC7063"/>
    <w:rsid w:val="00E25660"/>
    <w:rsid w:val="00E3324D"/>
    <w:rsid w:val="00E40DE3"/>
    <w:rsid w:val="00E47BD2"/>
    <w:rsid w:val="00EB1603"/>
    <w:rsid w:val="00F15CCF"/>
    <w:rsid w:val="00F50F2E"/>
    <w:rsid w:val="00F83C23"/>
    <w:rsid w:val="00FC6DCB"/>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C6FC26-0267-4E7C-B4E2-FC096FCA0220}">
  <ds:schemaRefs>
    <ds:schemaRef ds:uri="http://purl.org/dc/elements/1.1/"/>
    <ds:schemaRef ds:uri="http://www.w3.org/XML/1998/namespace"/>
    <ds:schemaRef ds:uri="http://schemas.microsoft.com/office/2006/metadata/properties"/>
    <ds:schemaRef ds:uri="http://purl.org/dc/terms/"/>
    <ds:schemaRef ds:uri="bebc894a-90b2-47c0-8c1e-f613c522c93f"/>
    <ds:schemaRef ds:uri="http://schemas.microsoft.com/office/2006/documentManagement/types"/>
    <ds:schemaRef ds:uri="http://schemas.microsoft.com/office/infopath/2007/PartnerControls"/>
    <ds:schemaRef ds:uri="http://schemas.openxmlformats.org/package/2006/metadata/core-properties"/>
    <ds:schemaRef ds:uri="3d9415c8-bafc-4b26-a0b3-d21691683748"/>
    <ds:schemaRef ds:uri="http://purl.org/dc/dcmitype/"/>
  </ds:schemaRefs>
</ds:datastoreItem>
</file>

<file path=customXml/itemProps2.xml><?xml version="1.0" encoding="utf-8"?>
<ds:datastoreItem xmlns:ds="http://schemas.openxmlformats.org/officeDocument/2006/customXml" ds:itemID="{7D2AAFDF-1F61-46E9-BF61-6B37466DB996}">
  <ds:schemaRefs>
    <ds:schemaRef ds:uri="http://schemas.microsoft.com/sharepoint/v3/contenttype/forms"/>
  </ds:schemaRefs>
</ds:datastoreItem>
</file>

<file path=customXml/itemProps3.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8963</Words>
  <Characters>5110</Characters>
  <Application>Microsoft Office Word</Application>
  <DocSecurity>0</DocSecurity>
  <Lines>42</Lines>
  <Paragraphs>28</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11</cp:revision>
  <dcterms:created xsi:type="dcterms:W3CDTF">2022-07-20T12:30:00Z</dcterms:created>
  <dcterms:modified xsi:type="dcterms:W3CDTF">2022-07-29T07:22:00Z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