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gaisa satiksme" vispārējo stratēģisko mērķi"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Likums) 1.panta pirmās daļas 14.punkta “a” apakšpunkts nosaka, ka publiskas personas augstākā lēmējinstitūcija attiecībā uz valsts kapitāla daļu un kapitālsabiedrību pārvaldību ir Ministru kabinets. Saskaņā ar Likuma 1.panta pirmās daļas 18.punktā sniegto definīciju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7. panta trešo daļu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gaisa satiksme" (turpmāk –  LGS) pašreiz spēkā esošais vispārējais stratēģiskais mērķis "Nodrošināt aeronavigācijas pakalpojumus un to drošumu atbilstoši starptautisko un nacionālo standartu prasībām, uzturēt optimālu kontrolējamās gaisa telpas kapacitāti, attīstīt aeronavigācijas pakalpojumus un to infrastruktūru, kā arī sniegt iespēju visiem gaisa telpas lietotājiem lidojumus veikt efektīvi, ievērojot gan militāro, gan civilo operatoru prasības" ir apstiprināts ar Ministru kabineta  2021. gada 8. jūnija rīkojumu Nr.396 “Par valsts akciju sabiedrības “Latvijas gaisa satiksme” vispārējo stratēģisko mērķi”” (turpmāk - MK rīkojums Nr.396), līdz ar to, ņemot vērā Likuma  7.panta trešās daļas prasības, 2026. gadā LGS stratēģiskais mērķis būtu pārvērtējams un apstiprināms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Pārvērtēt un apstiprināt LGS vispārējo stratēģisko mērķi, nodrošinot Likuma 7.panta trešās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ir valsts kapitālsabiedrība, kuras 100 % kapitāla daļas pieder valstij. Kapitālsabiedrības valsts kapitāla daļu turētāja ir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ir reģistrēta komercreģistrā ar vienoto reģistrācijas Nr.40003038621, juridiskā adrese: Muzeju iela 3, Lidosta “Rīga”, Mārupes novads, LV-1053,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reģistrētais pamatkapitāls ir 28 765 948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nav iekļauta vispārējā valdības sektorā un ir komerciāla valsts kapitālsabiedrība, kur valsts atbalsts nepārsniedz 10% no pēdējo trīs gadu vidējā apgrozījuma. Eiropas mērogā gaisa satiksmes pakalpojumu sniedzēji darbojas sistēmā, kurā ir gan komerciāli, gan nekomerciāli attīstības virzieni. Tomēr galvenā uzmanība tiek pievērsta gaisa satiksmes drošībai un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savu darbību īsteno valstij stratēģiski svarīgā nozarē, darbojoties transporta nozares aviācijas apakšnozarē un sniedz pakalpojumus, kas ir būtiski nozares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deleģētās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42. panta pirmā daļa nosaka, ka darbību, kas saistīta ar Latvijas Republikas gaisa telpas izmantošanu civilajām un militārajām vajadzībām, koordinē un gaisa kuģu lidojumus vada valsts akciju sabiedrība "Latvijas gaisa satiksme", kas ir gaisa satiksmes pakalpojumu sniedzējs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55.</w:t>
      </w:r>
      <w:r w:rsidR="00000000" w:rsidRPr="00000000" w:rsidDel="00000000">
        <w:rPr>
          <w:vertAlign w:val="superscript"/>
          <w:rtl w:val="0"/>
        </w:rPr>
        <w:t xml:space="preserve">1</w:t>
      </w:r>
      <w:r w:rsidR="00000000" w:rsidRPr="00000000" w:rsidDel="00000000">
        <w:rPr>
          <w:rtl w:val="0"/>
        </w:rPr>
        <w:t xml:space="preserve"> pants nosaka, ka valsts akciju sabiedrība “Latvijas gaisa satiksme” un valsts sabiedrība ar ierobežotu atbildību "Latvijas Vides, ģeoloģijas un meteoroloģijas centrs" ir meteoroloģisko pakalpojumu sniedzēji Latvijas Republikā. Ņemot vērā minēto, Ministru kabineta 2006. gada 15. augusta noteikumi Nr. 657 “Gaisa kuģu lidojumiem nepieciešamās meteoroloģiskās informācijas sniegšanas kārtība” nosaka kārtību, kādā meteoroloģisko pakalpojumu sniedzējs nodrošina ieinteresētās personas ar gaisa kuģu lidojumiem nepieciešamo meteoroloģisko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6</w:t>
      </w:r>
      <w:r w:rsidR="00000000" w:rsidRPr="00000000" w:rsidDel="00000000">
        <w:rPr>
          <w:rtl w:val="0"/>
        </w:rPr>
        <w:t xml:space="preserve"> panta trešā daļa nosaka, ka informācijas pieejamību, kas nepieciešama bezpilota gaisa kuģu lidojumiem, saskaņā ar Komisijas 2019.gada 24.maija Īstenošanas regulas (ES) Nr.  2019/947 par bezpilota gaisa kuģu ekspluatācijas noteikumiem un procedūrām 15. panta 3. punktu un 18. panta "f" punktu, nodrošina valsts akciju sabiedrība "Latvijas gaisa satiksme", ņemot vērā arī Ministru kabineta 2024. gada 23. aprīļa noteikumos Nr. 248 “Bezpilota gaisa kuģu lidojumu noteikumi” noteikto par informācijas pieejamību par bezpilota gaisa kuģu ģeogrāfiskajām zonām, tās apriti, kā arī par informācijas nodrošināšanas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ir jāīsteno tai deleģētās funkcijas. Tai skaitā ir jānodrošina darbības atbilstība starptautiskajos tiesību aktos noteiktajiem drošības un tehniskajiem standartiem, kas spēj nodrošināt esošo un paredzamo gaisa pārvadājumu apjomu, kā arī jāveicina moderno tehnoloģiju ieviešana, nodrošinot konkurētspējīgus pakalpojumus un uzturot optimālu kapacitātes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LGS darbības noteicošais mērķis ir efektīvas, nepārtrauktas un drošas darbības nodrošināšana atbilstoši starptautisko institūciju prasībām un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vidēja termiņa darbības stratēģijas 2025.-2029.gadam izstrādes gaitā tika konstatēts, ka vispārējais stratēģiskais mērķis ir atbilstošs jau noteiktajam Latvijas valdības noteiktajam vispārējam stratēģiskajam mērķim un atstājams nemainīgs. Stratēģija ir izstrādāta, pamatojoties uz Publiskas personas kapitāla daļu un kapitālsabiedrību pārvaldības likumu, un atbilst Komisijas 2017.gada 1.marta Īstenošanas regulas (ES) Nr.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prasībām un ietver 2024.gada 18.decembra LGS akcionāra gaidu vēstulē noteiktos finanšu un nefinanšu mērķus. Stratēģija nosaka uzņēmuma attīstības virzienus, mērķus, kā arī paredzamos galvenos darbības rādītājus, galvenos investīciju virzienus un plāna īstenošanai nepieciešamos resursus. Stratēģijā ietvertie mērķi un rādītāji ir noteikti, pamatojoties arī uz Komisijas 2019. gada 11.februāra Īstenošanas regulu (ES) Nr.2019/317, ar ko nosaka darbības uzlabošanas sistēmu un tarifikācijas sistēmu Eiropas vienotajā gaisa telpā, kā arī Komisijas 2024. gada 12. jūnija īstenošanas lēmumu (ES) 2024/1688, ar ko nosaka gaisa satiksmes pārvaldības tīkla Savienības mēroga darbības uzlabošanas mērķus ceturtajam pārskata periodam (2025.–2029. gads). Pirms LGS vidēja termiņa stratēģijas apstiprināšanas saņemti atzinumi no Satiksmes ministrijas un Valsts kancelejas. Atzinumos norādītie priekšlikumi tika iestrādāti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LGS vispārējā stratēģiskā mērķa apstiprināšanas 2021. gada 8. jūnijā normatīvais regulējums attiecībā uz LGS pamatdarbību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vispārējais stratēģiskais mērķis izriet no tiesību aktiem un politikas plānošanas dokumentiem. Iepriekš minētie tiesiskie aspekti tika analizēti, definējot un apstiprinot LGS vispārējo stratēģisko mērķi 2021. gada 8. jūnijā, un aktualitāte ir saglabājusies arī uz LGS vispārējā stratēģiskā mērķa pārvērtēšanas brīdi 2026. gadā, kas tādējādi pamato LGS vispārējā stratēģiskā mērķa saglabāšanu līdzšinējā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normatīvajā regulējumā attiecībā uz nozari, kurā darbojas LGS, ir apstiprināts jauna Eiropas Parlamenta un Padomes regula (ES) 2024/2803 par Eiropas vienotās gaisa telpas īstenošanu, kas cita starpā nosaka, ka gaisa satiksmes pakalpojumi būtu jāsniedz kā ekskluzīvi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Virzība uz Stratēģijā noteikto mērķu sasniegšanu un tādējādi arī vispārējā stratēģiskā mērķa īstenošanu tiek nodrošināta, atbilstoši definējot uzdevumus un pasākumus kapitālsabiedrības katra pārskata gada saimnieciskās darbības plānā. Stratēģijā nostiprināto stratēģisko mērķu īstenošana 2026. gadā tiek sekmīgi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piedāvāts apstiprināt VAS “Latvijas gaisa satiksme” vispārējo stratēģisko mērķi līdzšinējā redakcijā: “Nodrošināt aeronavigācijas pakalpojumus un to drošumu atbilstoši starptautisko un nacionālo standartu prasībām, uzturēt optimālu kontrolējamās gaisa telpas kapacitāti, attīstīt aeronavigācijas pakalpojumus un to infrastruktūru, kā arī sniegt iespēju visiem gaisa telpas lietotājiem lidojumus veikt efektīvi, ievērojot gan militāro, gan civilo operatoru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1.3.punktā norādīto, Satiksmes ministrija ierosina apstiprināt VAS “Latvijas gaisa satiksme” vispārējo stratēģisko mērķi līdzšinējā redakcijā: “nodrošināt aeronavigācijas pakalpojumus un to drošumu atbilstoši starptautisko un nacionālo standartu prasībām, uzturēt optimālu kontrolējamās gaisa telpas kapacitāti, attīstīt aeronavigācijas pakalpojumus un to infrastruktūru, kā arī sniegt iespēju visiem gaisa telpas lietotājiem lidojumus veikt efektīvi, ievērojot gan militāro, gan civilo operatoru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26-TA-580</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26-TA-580</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anotācija_(ex_ante)_26-TA-580.docx</dc:title>
</cp:coreProperties>
</file>

<file path=docProps/custom.xml><?xml version="1.0" encoding="utf-8"?>
<Properties xmlns="http://schemas.openxmlformats.org/officeDocument/2006/custom-properties" xmlns:vt="http://schemas.openxmlformats.org/officeDocument/2006/docPropsVTypes"/>
</file>