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2023. gada 5. septembra noteikumos Nr. 512 "Eiropas Savienības Atveseļošanas un noturības mehānisma plāna 3.1. reformu un investīciju virzienu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ir Labklājības ministrijas (turpmāk – ministrija) iniciatīva un paredz papildu finansējuma pārdali 3.1.2.1.i. investīcijas "Publisko pakalpojumu un nodarbinātības pieejamības veicināšanas pasākumi cilvēkiem ar funkcionāliem traucējumiem" otrās kārtas "Atbalsta pasākumi cilvēkiem ar invaliditāti mājokļu vides pieejamības nodrošināšanai" (turpmāk – 3.1.2.1.i. investīcijas otrā kārta) īstenošanai. Tā kā finansējuma pārdale paredzēta starp 3.1.2.1.i. investīcijas "Publisko pakalpojumu un nodarbinātības pieejamības veicināšanas pasākumi cilvēkiem ar funkcionāliem traucējumiem" ietvaros kārtām, tas ir, samazinot pirmās kārtas "Valsts un pašvaldību ēku vides pieejamības nodrošināšanas pasākumi" (turpmāk – 3.1.2.1.i. investīcijas pirmā kārta) finansējumu un palielinot 3.1.2.1.i. investīcijas otrās kārtas finansējumu, tad grozījumi abu 3.1.2.1.i. investīcijas "Publisko pakalpojumu un nodarbinātības pieejamības veicināšanas pasākumi cilvēkiem ar funkcionāliem traucējumiem" (turpmāk – 3.1.2.1.i. investīcija) kārtu nosacījumos – MK noteikumos Nr. 512 un  2022. gada 20. septembra noteikumiem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Tiesību aktu portālā tiek virzīti  vienlaicīgi.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mērķis ir palielināt finansējumu 3.1.2.1.i. investīcijas otrās kārtas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512 paredz kārtību, kādā īsteno 3.1.2.1.i. investīcijas otro kārtu un nodrošina tās īstenošanas uzraudzību. 3.1.2.1.i. investīcijas otrās kārtas mērķis ir nodrošināt atbalstu mājokļu pielāgošanai 259 personām ar invaliditāti, kurām ir kustību traucējumi (turpmāk – mērķa grupas personas), un uzlabot šīm personām nodarbinātības iespējas un pieejamību pakalpojumiem, tādējādi sekmējot viņu dzīves kvalitāti un cilvēktiesību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512 ir paredzēta 259 mērķa grupas personu mājokļu pielāgošana. Attiecīgi, lai sasniegtu noteikto mērķa grupas skaitu  3.1.2.1.i. investīcijas otrās kārtas ietvaros, līdz  2024. gada 31. martam bija jābūt atlasītām 259 mērķa grupas personām mājokļa fiziskās pieejamības uzlabošanai (115. atskaites punkts “Konkrētas mērķa grupas izvēle mājokļa fiziskās pieejamības uzlabošanai” (turpmāk – 115. atskaites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Noteiktā atskaites punkta sasniegšana kavējās, līdz ar to ministrija veica šādas darbības 3.1.2.1.i. investīcijas otrās kārtas  pasākuma finansējuma saņēmēju (turpmāk – pašvaldības) uzrunāšanai un 115. atskaites punkta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līdz 2024. gada 30. jūnijam Kohēzijas politikas fondu vadības informācijas sistēmā (turpmāk – KP VIS) iesniegtajos projektos bija iekļauts atbalsts 234 mērķa grupas personu mājokļu pielāgošanai jeb par 25 mērķa grupas personām mazāk kā nepieciešamais skaits (259 mērķa grupas personas), ministrija aicināja pašvaldības veikt papildu mērķa grupas personu atlasi. Šim aicinājumam kopumā atsaucās 13 pašvaldības, piesakot iespējamo atbalstu 33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pieteikto mērķa grupas personu skaits bija par astoņām personām vairāk kā paredzēts atbalsts (starpība veidojas no 33 pieteiktajām mērķa grupas personu kvotām atskaitot 25 "brīvās" kvotas) ministrija īstenoja  MK 2024. gada 11. jūnija sēdē pieņemtā informatīvā ziņojuma "Par Eiropas Savienības Atveseļošanas un noturības mehānisma plāna 3. komponentes "Nevienlīdzības mazināšana" 3.1. reformu un investīciju virziena "Reģionālā politika" reformas 3.1.2.r. "Sociālo un nodarbinātības pakalpojumu pieejamība minimālo ienākumu reformas atbalstam"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 (turpmāk – informatīvais ziņojums) 16.4. apakšpunktā minēto kvotu pārdales kārtību, piešķirot papildu kvotu pieprasītajā apmērā vai arī piešķīra daļu no pašvaldības pieprasītās kvotas. Informatīvais ziņojums pieņemts ar MK sēdes protokola Nr. 24 59.§ 5. p., pieejams: https://tapportals.mk.gov.lv/meetings/protocols/ef74e09f-d3a5-43ae-8bcf-776c1f48cb49#meeting-protocol-preview-24.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kvotu pārdali kopumā netika "apmierināts" pieprasījums pēc iepriekšminētajām astoņām kvotām, jo pēc ministrijas kvotu pārdales vēstules saņemšanas divas pašvaldības atteicās no papildu pieprasītām kvotām. 2024.gada 2.decembrī tiešsaites sanāksmē Ventspils valstspilsētas pašvaldība atteicās no trīs kvotām, kā arī informāciju par atteikšanos no vienas kvotas sniedza Dobeles novada pašvaldība. Savukārt divām pašvaldībām – Bauskas novada pašvaldībai un Valmieras novada pašvaldībai (attiecīgi par vienu mērķa grupas personu un par trīs mērķa grupas personām) ir aktuāli sniegt atbalstu 3.1.2.1.i. investīcijas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ir aktuāli rast finansējumu papildu četru mērķa grupas personu mājokļu vides pielāgošanas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26.3.1. apakšpunktā ir sniegta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2024. gada 11. jūnija sēdē pieņemtajam lēmumam (protokols Nr. 24 59.§, 5. punkts) ministrijai ir jāveic nepieciešamās darbības mērķa grupas personu rezerves veidošanai, ja pēc pārskatītajiem mērķa grupas atbilstības kritērijiem atbalstāmā mērķa grupa pārsniegs 259 personu kopskaitu. Pēc pašvaldību iesniegtā pieprasījuma papildu kvotām ir secināms, ka četrām personām virs 259 personu kopskaita ir nepieciešams veikt mājokļa vides pielāgojumus.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ņemot vērā līdzšinējo 3.1.2.1.i.  investīcijas otrās kārtas īstenošanas pieredzi, pastāv iespēja, ka projektu īstenošanas laikā kāda no mērķa grupas personām pārtrauks dalību attiecīgās pašvaldības projektā dažādu apsvērumu dēļ, piemēram, tiek ievietota ilgstošās sociālās aprūpes un sociālās rehabilitācijas institūcijā, maina dzīvesvietu, nomirst u.c., kā rezultātā noteiktajā apmērā netiks sasniegti AF plāna iekļautie 3.1.2.1.i. investīcijas otrās kārtas atskaites punkti un mērķrādītājs.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512 26.3.1. apakšpunktā ir sniegta atsauce uz regulu Nr. 2018/1046, taču ir stājusies spēkā Eiropas Parlamenta un Padomes 2024. gada 23. septembra Regula (ES, Euratom) 2024/2509 par finanšu noteikumiem, ko piemēro Savienības vispārējam budžetam (pārstrādāta redakcija) (turpmāk – Komisijas regula 2024/2509), kuras 279. pants nosaka, ka tā atceļ Komisijas regulu Nr. 2018/1046. Tādējādi nav paredzēta atsauce uz aktuālajiem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pašvaldību sniegtā informācija liecina par atbalsta nepieciešamību papildu četrām mērķa grupas personām virs 259 personu kopskaita, ir nepieciešams 3.1.2.1.i. investīcijas otrajā kārtā veidot mērķa grupas personu "rezervi", vienlaikus saglabājot 3.1.2.1.i. investīcijas otrās kārtas 117. mērķrādītāja  vērtību AF plānā noteiktajā apmērā. "Rezerves" mērķa grupas persona tiks ieskaitīta minētajā mērķrādītājā, ja kāda no 259 personām pārtrauks dalību 3.1.2.1.i. investīcijas otrajā kārtā. Attiecīgi papildu mērķa grupas iekļaušana 3.1.2.1.i. investīcijas otrās kārtas projektos ir būtiska 3.1.2.1.i. investīcijas otrās kārtas atskaites punktu un mērķrādītāja sasniegšanā, kā arī tā ir iespēja sniegt nepieciešamo atbalstu mērķa grupas personām mājokļu vides pielāgošanā, lai paplašinātu viņu nodarbinātības iespējas un pieejamību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512 11. punktam, viena mājokļa vides pieejamības nodrošināšanas vidējās izmaksas nepārsniedz 18 299 </w:t>
      </w:r>
      <w:r w:rsidR="00000000" w:rsidRPr="00000000" w:rsidDel="00000000">
        <w:rPr>
          <w:i w:val="1"/>
          <w:rtl w:val="0"/>
        </w:rPr>
        <w:t xml:space="preserve">euro</w:t>
      </w:r>
      <w:r w:rsidR="00000000" w:rsidRPr="00000000" w:rsidDel="00000000">
        <w:rPr>
          <w:rtl w:val="0"/>
        </w:rPr>
        <w:t xml:space="preserve">, neieskaitot pievienotās vērtības nodokļa (turpmāk – PVN) izmaksas. Tādējādi nepieciešamais finansējums papildu četru mērķa grupas personu mājokļu pielāgošanai veido 73 196 </w:t>
      </w:r>
      <w:r w:rsidR="00000000" w:rsidRPr="00000000" w:rsidDel="00000000">
        <w:rPr>
          <w:i w:val="1"/>
          <w:rtl w:val="0"/>
        </w:rPr>
        <w:t xml:space="preserve">euro</w:t>
      </w:r>
      <w:r w:rsidR="00000000" w:rsidRPr="00000000" w:rsidDel="00000000">
        <w:rPr>
          <w:rtl w:val="0"/>
        </w:rPr>
        <w:t xml:space="preserve">, kā arī valsts budžeta finansējums PVN izmaksu segšanai indikatīvi ~ 10 818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VIS dati uz 2024. gada 11. novembri liecina, ka vairāku 3.1.2.1.i. investīcijas pirmās kārtas projektu īstenošana ir noslēgusies vai arī finansējuma saņēmēju iesniegtie pieprasījumi projekta noslēguma maksājumam ir apstiprināšanas procesā Centrālajā finanšu un līgumu aģentūrā. Atbilstoši  KP VIS datiem 3.1.2.1.i. investīcijas pirmās kārtas projektos veidojas AF finansējuma atlikumi (provizoriski vairāk kā 283 tūkstoši </w:t>
      </w:r>
      <w:r w:rsidR="00000000" w:rsidRPr="00000000" w:rsidDel="00000000">
        <w:rPr>
          <w:i w:val="1"/>
          <w:rtl w:val="0"/>
        </w:rPr>
        <w:t xml:space="preserve">euro</w:t>
      </w:r>
      <w:r w:rsidR="00000000" w:rsidRPr="00000000" w:rsidDel="00000000">
        <w:rPr>
          <w:rtl w:val="0"/>
        </w:rPr>
        <w:t xml:space="preserve">). Šo 3.1.2.1.i. investīcijas pirmās kārtas AF finansējuma atlikumu attiecīgi investīcijas ietvaros ir iespējams pārdalīt 3.1.2.1.i. investīcijas otrās kārtas projektiem, lai atbalstītu papildu četru mērķa grupu personu mājokļu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 512 10. punktā tiek palielināts AF finansējums par 73 196 </w:t>
      </w:r>
      <w:r w:rsidR="00000000" w:rsidRPr="00000000" w:rsidDel="00000000">
        <w:rPr>
          <w:i w:val="1"/>
          <w:rtl w:val="0"/>
        </w:rPr>
        <w:t xml:space="preserve">euro,</w:t>
      </w:r>
      <w:r w:rsidR="00000000" w:rsidRPr="00000000" w:rsidDel="00000000">
        <w:rPr>
          <w:rtl w:val="0"/>
        </w:rPr>
        <w:t xml:space="preserve"> savukārt valsts budžeta finansējumu PVN izmaksu segšanai tiek palielināts indikatīvi par 10 818 </w:t>
      </w:r>
      <w:r w:rsidR="00000000" w:rsidRPr="00000000" w:rsidDel="00000000">
        <w:rPr>
          <w:i w:val="1"/>
          <w:rtl w:val="0"/>
        </w:rPr>
        <w:t xml:space="preserve">euro, </w:t>
      </w:r>
      <w:r w:rsidR="00000000" w:rsidRPr="00000000" w:rsidDel="00000000">
        <w:rPr>
          <w:rtl w:val="0"/>
        </w:rPr>
        <w:t xml:space="preserve">ievērtējot jau izmantoto valsts budžeta finansējuma ietaupījumu 4 553 </w:t>
      </w:r>
      <w:r w:rsidR="00000000" w:rsidRPr="00000000" w:rsidDel="00000000">
        <w:rPr>
          <w:i w:val="1"/>
          <w:rtl w:val="0"/>
        </w:rPr>
        <w:t xml:space="preserve">euro </w:t>
      </w:r>
      <w:r w:rsidR="00000000" w:rsidRPr="00000000" w:rsidDel="00000000">
        <w:rPr>
          <w:rtl w:val="0"/>
        </w:rPr>
        <w:t xml:space="preserve">apmērā projekta atbalstāmo darbību īstenošanā. Papildus MK noteikumu Nr. 512 paredz nosacījumu, ka ministrija, piešķirot papildu kvotas pašvaldībām, var paredzēt  mājokļu pielāgošanu vairāk kā 259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3.1.2.1.i. investīcijas otrajai kārtai nepieciešamais papildu AF finansējums tiek pārdalīts no 3.1.2.1.i. investīcijas pirmās kārtas, minētās investīcijas abu kārtu finansējuma sadalījums pēc pārdales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pirmajai kārtai AF finansējums 9 685 000 </w:t>
      </w:r>
      <w:r w:rsidR="00000000" w:rsidRPr="00000000" w:rsidDel="00000000">
        <w:rPr>
          <w:i w:val="1"/>
          <w:rtl w:val="0"/>
        </w:rPr>
        <w:t xml:space="preserve">euro </w:t>
      </w:r>
      <w:r w:rsidR="00000000" w:rsidRPr="00000000" w:rsidDel="00000000">
        <w:rPr>
          <w:rtl w:val="0"/>
        </w:rPr>
        <w:t xml:space="preserve">un valsts budžeta finansējums PVN izmaksu segšanai indikatīvi 357 800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 otrajai kārtai AF finansējums  4 812 637  </w:t>
      </w:r>
      <w:r w:rsidR="00000000" w:rsidRPr="00000000" w:rsidDel="00000000">
        <w:rPr>
          <w:i w:val="1"/>
          <w:rtl w:val="0"/>
        </w:rPr>
        <w:t xml:space="preserve">euro</w:t>
      </w:r>
      <w:r w:rsidR="00000000" w:rsidRPr="00000000" w:rsidDel="00000000">
        <w:rPr>
          <w:rtl w:val="0"/>
        </w:rPr>
        <w:t xml:space="preserve"> un valsts budžeta finansējums PVN izmaksu segšanai – indikatīvi 1 006 101</w:t>
      </w:r>
      <w:r w:rsidR="00000000" w:rsidRPr="00000000" w:rsidDel="00000000">
        <w:rPr>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512 grozījumu spēkā stāšanās ministrija informēs Bauskas novada un Valmieras novada pašvaldības, kā arī Centrālo finanšu un līgumu aģentūru par papildu kvotu piešķiršanu, aicinot abas pašvaldības iesniegt atbilstošus grozījumus projektā KP 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atsauču piemērošanu, veikti tehniski precizējumi MK noteikumu Nr. 512  26.3.1. apakšpunktā, sniedzot atsauci uz Komisijas regulu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nepiešķirt papildu finansējumu 3.1.2.1.i. investīcijas otrās kārtas pasākuma īstenošanai, bet šī alternatīva būtu pretrunā ar MK 2024. gada 11. jūnija sēdē pieņemto lēmumu (protokols Nr.24 59.§, 5. punkts), kas paredz mērķa grupas rezerves saraksta veidošanu, ja atbalstāmās mērķa grupas personu skaits pārsniedz 259.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iespēja veikt pārdali no citas AF pasākuma investīcijas, bet tad būtu nepieciešams veikt arī grozījumus AF plānā. Ierosinot grozījumu finansējuma pārdalei vienas investīcijas – 3.1.2.1.i. ietvaros AF plāna grozījumi nav nepieciešami, turklāt to ir iespējams īstenot laika ziņā īsākā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un kustību traucējumiem vecumā no 15 līdz 17 gadiem (ieskaitot), kā arī pilngadīgas personas ar I vai II invaliditātes grupu un kustību traucējumiem, kuras nav sasniegušas vecuma pensijas piešķiršanai nepieciešamo vecumu atbilstoši likumā “Par valsts pensijām” noteiktajam vai kuras ir sasniegušas šo vecumu un ir obligāti sociāli apdrošinātas personas (darba ņēmēji, pašnodarbinātie).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512 grozījumi paredz iespēju pretendēt uz mājokļu vides pieejamības atbalstu lielākam mērķa grupas personu skaitam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īsteno 3.1.2.1.i. investīcijas otrās kārtas pasākuma projektus (Bauskas novads un Valmieras novads).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1 641 759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703 610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1 641 759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703 610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2 007 153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1 986 528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860 210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2 007 153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1 986 528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860 210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otrās kārtas pasākumā plānots Atveseļošanas fonda plāna attiecināmais finansējums 4 812 637 </w:t>
            </w:r>
            <w:r w:rsidR="00000000" w:rsidRPr="00000000" w:rsidDel="00000000">
              <w:rPr>
                <w:sz w:val="24"/>
                <w:i w:val="1"/>
                <w:rtl w:val="0"/>
              </w:rPr>
              <w:t xml:space="preserve">euro</w:t>
            </w:r>
            <w:r w:rsidR="00000000" w:rsidRPr="00000000" w:rsidDel="00000000">
              <w:rPr>
                <w:sz w:val="24"/>
                <w:rtl w:val="0"/>
              </w:rPr>
              <w:t xml:space="preserve"> apmērā un valsts budžeta finansējums 1 006 101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ieņēmumos valsts pamatbudžeta sadaļā norādīts AF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otrās kārtas projektu īstenošanas izdevumu prognoze balstīta uz finansējuma saņēmēju KP VIS iesniegto projekta budžeta kopsavilkuma datiem, plānoto maksājuma pieprasījumu iesniegšanas grafiku informāciju, faktisko izdevumu izpildi un balstoties uz pieņēmumu par papildu finansējuma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attiecināmo izmaksu segšanai pieejams gan AF finansējums, gan valsts budžeta finansējums PVN izmaksu segšanai, kas tiek noteikts pieņemot, ka visi darījumi, kuru izmaksas sedz no AF finansējuma ir ar PVN apliekamie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Finanšu ministrijas valsts budžeta apakšprogrammas 74.07.00 "Atveseļošanas un noturības mehānisma (ANM) finansējums projektu un pasākumu īstenotājiem" informācijai līdz 31.12.2024. projektu īstenošanā izlietots finansējums (ietverot avansa maksājumus un starpposma maksājumus sadalījumā pa finanšu avotiem (AF finansējums, VB finansējums) ir izmaksāts finansējums 197 828 </w:t>
            </w:r>
            <w:r w:rsidR="00000000" w:rsidRPr="00000000" w:rsidDel="00000000">
              <w:rPr>
                <w:sz w:val="24"/>
                <w:i w:val="1"/>
                <w:rtl w:val="0"/>
              </w:rPr>
              <w:t xml:space="preserve">euro </w:t>
            </w:r>
            <w:r w:rsidR="00000000" w:rsidRPr="00000000" w:rsidDel="00000000">
              <w:rPr>
                <w:sz w:val="24"/>
                <w:rtl w:val="0"/>
              </w:rPr>
              <w:t xml:space="preserve">apmērā.  Savukārt starpposma maksājumos projekta izdevumi attiecināti izdevumi 113 479 </w:t>
            </w:r>
            <w:r w:rsidR="00000000" w:rsidRPr="00000000" w:rsidDel="00000000">
              <w:rPr>
                <w:sz w:val="24"/>
                <w:i w:val="1"/>
                <w:rtl w:val="0"/>
              </w:rPr>
              <w:t xml:space="preserve">euro </w:t>
            </w:r>
            <w:r w:rsidR="00000000" w:rsidRPr="00000000" w:rsidDel="00000000">
              <w:rPr>
                <w:sz w:val="24"/>
                <w:rtl w:val="0"/>
              </w:rPr>
              <w:t xml:space="preserve">apmērā, t.sk. AF finansējums </w:t>
            </w:r>
            <w:r w:rsidR="00000000" w:rsidRPr="00000000" w:rsidDel="00000000">
              <w:rPr>
                <w:sz w:val="24"/>
                <w:b w:val="1"/>
                <w:rtl w:val="0"/>
              </w:rPr>
              <w:t xml:space="preserve">97 547 </w:t>
            </w:r>
            <w:r w:rsidR="00000000" w:rsidRPr="00000000" w:rsidDel="00000000">
              <w:rPr>
                <w:sz w:val="24"/>
                <w:b w:val="1"/>
                <w:i w:val="1"/>
                <w:rtl w:val="0"/>
              </w:rPr>
              <w:t xml:space="preserve">euro</w:t>
            </w:r>
            <w:r w:rsidR="00000000" w:rsidRPr="00000000" w:rsidDel="00000000">
              <w:rPr>
                <w:sz w:val="24"/>
                <w:i w:val="1"/>
                <w:rtl w:val="0"/>
              </w:rPr>
              <w:t xml:space="preserve"> </w:t>
            </w:r>
            <w:r w:rsidR="00000000" w:rsidRPr="00000000" w:rsidDel="00000000">
              <w:rPr>
                <w:sz w:val="24"/>
                <w:rtl w:val="0"/>
              </w:rPr>
              <w:t xml:space="preserve">un valsts budžeta finansējums 15 932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aprēķinam uz valsts un pašvaldību budžetu tiek izmantota informācija par faktiskajiem un plānotajiem attiecināmajiem izdevumiem starpposma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projektu īstenošana noslēdzas līdz 30.06.2026., attiecināmo izdevumu segšanai turpmākajos gados plānots finansējums indikatīvi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AF finansējums </w:t>
            </w:r>
            <w:r w:rsidR="00000000" w:rsidRPr="00000000" w:rsidDel="00000000">
              <w:rPr>
                <w:sz w:val="24"/>
                <w:b w:val="1"/>
                <w:rtl w:val="0"/>
              </w:rPr>
              <w:t xml:space="preserve">3 300 563 </w:t>
            </w:r>
            <w:r w:rsidR="00000000" w:rsidRPr="00000000" w:rsidDel="00000000">
              <w:rPr>
                <w:sz w:val="24"/>
                <w:b w:val="1"/>
                <w:i w:val="1"/>
                <w:rtl w:val="0"/>
              </w:rPr>
              <w:t xml:space="preserve">euro </w:t>
            </w:r>
            <w:r w:rsidR="00000000" w:rsidRPr="00000000" w:rsidDel="00000000">
              <w:rPr>
                <w:sz w:val="24"/>
                <w:rtl w:val="0"/>
              </w:rPr>
              <w:t xml:space="preserve">un valsts budžeta finansējums - 693 118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AF finansējums </w:t>
            </w:r>
            <w:r w:rsidR="00000000" w:rsidRPr="00000000" w:rsidDel="00000000">
              <w:rPr>
                <w:sz w:val="24"/>
                <w:b w:val="1"/>
                <w:rtl w:val="0"/>
              </w:rPr>
              <w:t xml:space="preserve">1 414 527 </w:t>
            </w:r>
            <w:r w:rsidR="00000000" w:rsidRPr="00000000" w:rsidDel="00000000">
              <w:rPr>
                <w:sz w:val="24"/>
                <w:b w:val="1"/>
                <w:i w:val="1"/>
                <w:rtl w:val="0"/>
              </w:rPr>
              <w:t xml:space="preserve">euro </w:t>
            </w:r>
            <w:r w:rsidR="00000000" w:rsidRPr="00000000" w:rsidDel="00000000">
              <w:rPr>
                <w:sz w:val="24"/>
                <w:rtl w:val="0"/>
              </w:rPr>
              <w:t xml:space="preserve">un valsts budžeta finansējums - 297 051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izmaksas pārsniedz pieejamo AF finansējumu, tad finansējuma saņēmējs var izmantot pašvaldības budžeta finansējumu vai privāto finansējumu (šobrīd nav iespējams prognozēt tā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PVN izmaksu segšanai turpmākajos gados plānots, pieņemot, ka visi turpmākie projekta ietvaros veiktie darījumi būs ar PVN apliekamie darījumi un PVN apmērs noteikts atbilstoši attiecināmā AF finansējuma apmēram un noteiktajai PVN likmei 21 procents no apliekamā darījuma summas. Ņemot vērā, ka atbilstoši MK noteikumiem Nr. 512 attiecināmajās izmaksās var iekļaut arī projekta vadības un īstenošanas personāla atlīdzības izmaksas, kas nav ar PVN apliekamais darījums, faktiski izmantotais valsts budžets var būt mazāks nekā noteikts minētajos MK noteikumos. To apliecina arī līdzšinēji (līdz 31.12.2024.) izmantotā finansējuma analīze, kur valsts budžeta finansējums aprēķinā pēc noteiktās PVN likmes neatbilst izmantotajam AF finansējumam.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izdevumos valsts pamatbudžeta sadaļā norādīts AF finansējums un valsts budžeta finansējums pašvaldību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finansējuma palielinājums par 73 196 </w:t>
            </w:r>
            <w:r w:rsidR="00000000" w:rsidRPr="00000000" w:rsidDel="00000000">
              <w:rPr>
                <w:sz w:val="24"/>
                <w:i w:val="1"/>
                <w:rtl w:val="0"/>
              </w:rPr>
              <w:t xml:space="preserve">euro</w:t>
            </w:r>
            <w:r w:rsidR="00000000" w:rsidRPr="00000000" w:rsidDel="00000000">
              <w:rPr>
                <w:sz w:val="24"/>
                <w:rtl w:val="0"/>
              </w:rPr>
              <w:t xml:space="preserve"> tiek pārdalīts no 3.1.2.1.i. investīcijas "Publisko pakalpojumu un nodarbinātības pieejamības veicināšanas pasākumi cilvēkiem ar funkcionāliem traucējumiem" pirmās kārtas "Valsts un pašvaldību ēku vides pieejamības nodrošināšanas pasākumi"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plānoto 3.1.2.1.i. investīcijas otrās kārtas pasākuma AF finansējumu 4 812 637 </w:t>
      </w:r>
      <w:r w:rsidR="00000000" w:rsidRPr="00000000" w:rsidDel="00000000">
        <w:rPr>
          <w:i w:val="1"/>
          <w:rtl w:val="0"/>
        </w:rPr>
        <w:t xml:space="preserve">euro</w:t>
      </w:r>
      <w:r w:rsidR="00000000" w:rsidRPr="00000000" w:rsidDel="00000000">
        <w:rPr>
          <w:rtl w:val="0"/>
        </w:rPr>
        <w:t xml:space="preserve"> un papildu valsts budžeta finansējumu PVN izmaksu segšanai indikatīvi 1 006 101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pēc šo 3.1.2.1.i. investīcijas otrās kārtas īstenošanas MK noteikumu pieņemšanas CFLA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nepieciešamais finansējums tiks plānots Finanšu ministrijas valsts budžeta apakšprogrammā 74.07.00 "Atveseļošanas un noturības mehānisma (ANM) finansējums projektu un pasākumu īstenotājiem".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noteikumi Nr. 582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tiek veikta AF finansējuma 73 196 </w:t>
      </w:r>
      <w:r w:rsidR="00000000" w:rsidRPr="00000000" w:rsidDel="00000000">
        <w:rPr>
          <w:i w:val="1"/>
          <w:rtl w:val="0"/>
        </w:rPr>
        <w:t xml:space="preserve">euro </w:t>
      </w:r>
      <w:r w:rsidR="00000000" w:rsidRPr="00000000" w:rsidDel="00000000">
        <w:rPr>
          <w:rtl w:val="0"/>
        </w:rPr>
        <w:t xml:space="preserve">apmērā pārdale, samazinot 3.1.2.1.i. investīcijas pirmās kārtas pieejamo AF finansējumu (MK noteikumiem Nr. 582) un attiecīgi par minēto summu palielinot 3.1.2.1.i. investīcijas otrajai kārtai pieejamo AF finansējumu (MK noteikumi Nr. 512).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ietekmētu mērķa grupas personu vai citu sabiedrības grupu vajadzības, bet skar tādus projekta ieviešanas nosacījumus, kas ir saistoši tikai finansējuma saņēmējam. Pašvaldības kā finansējuma saņēmēji caur sociālo dienestu ir veikušas savu iedzīvotāju, kuriem varētu tikt sniegts atbalsts, izvērtējumu un tas ir rezumējies ar papildu kvotu pieteikšanu vai atteikšanos no tām. Attiecīgi sabiedrības līdzdalība netika izsludināta.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un Bauskas novada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MK noteikumos Nr. 512 veicinās skaita ziņā plašāku mērķa grupas personu iesaisti 3.1.2.1.i. investīcijas otrās kārtas pasākuma īstenošanā, pielāgojot šo personu mājokļus un tādā veidā veicinot šo personu veiksmīgāku iekļaušanos sabiedrībā, iesaistīšanos darba tirgū un pieeju dažādiem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pasākuma projekta ietvaros veiktie mājokļu uzlabojumi palīdzēs mērķa grupas personām nodrošināt lielāku piekļuvi nodarbinātībai un pakalpojumiem, tādējādi sekmējot viņu cilvēktiesības un dzīves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investīcijas pasākumam ir tieša ietekme uz cilvēktiesībām, demokrātiskās vērtībām un pilsoniskās sabiedrības attīstību. 3.1.2.1.i. investīcijas otrās kārtas investīcijas pasākuma ietvaros īstenotās vispārīgas darbības un nosacījumi veicinās personu ar invaliditāti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24-TA-2901</w:t>
    </w:r>
    <w:r>
      <w:br/>
    </w:r>
    <w:r w:rsidR="00000000" w:rsidRPr="00000000" w:rsidDel="00000000">
      <w:rPr>
        <w:rtl w:val="0"/>
      </w:rPr>
      <w:t xml:space="preserve">Izdrukāts 29.07.2026. 22.58 - 4.0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24-TA-2901</w:t>
    </w:r>
    <w:r>
      <w:br/>
    </w:r>
    <w:r w:rsidR="00000000" w:rsidRPr="00000000" w:rsidDel="00000000">
      <w:rPr>
        <w:rtl w:val="0"/>
      </w:rPr>
      <w:t xml:space="preserve">Izdrukāts 29.07.2026. 22.58 - 4.0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anotācija_(ex_ante)_24-TA-2901.docx</dc:title>
</cp:coreProperties>
</file>

<file path=docProps/custom.xml><?xml version="1.0" encoding="utf-8"?>
<Properties xmlns="http://schemas.openxmlformats.org/officeDocument/2006/custom-properties" xmlns:vt="http://schemas.openxmlformats.org/officeDocument/2006/docPropsVTypes"/>
</file>