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noteikumos Nr. 381 "Eiropas Sociālā fonda Plus programmas materiālās nenodrošinātības mazināšanai 2021.–2027. gadam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izstrāde ir nepieciešama,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-noteiktu sociāli ekonomiskajai situācijai atbilstošu ienākumu slieksni tiesību uz Eiropas Sociālā fonda Plus programmas materiālās nenodrošinātības mazināšanai 2021.–2027. gadam (turpmāk – Programma) atbalstu saņemšanai no 01.01.2024.;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-noteiktu tiesību uz Programmas bērnu pārtikas atbalstu pagarināšanu, ņemot vērā šī atbalsta pieejamības pārrāvumu no 2023. gada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-precizētu partnerorganizāciju atlases nosacījumus, tostarp attiecībā uz vērtēšanas kritērijiem, vienlaikus veicinot administratīvā sloga mazināšanu visām iesaistītām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-noteiktu kārtību, kādā veicama partnerorganizāciju atlase un līgumu vai vienošanās slēgšana ar partnerorganizācijām programmas informācijas vadības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-precizētu maltīšu izdales teritorijas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-veiktu redakcionālus precizējumus saistībā ar noteikumos norādītā normatīvā akta par preču kvalitātes kritērijiem spēku zaudēšanu un šī akta aizstāšanu ar spēkā esošo normatīvo aktu.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galvenais mērķis ir Programmas īstenošanā saglabāt labvēlīgus nosacījumus zemu ienākumu un krīzes situācijā nonākušām mājsaimniecībām (turpmāk – atbalsta saņēmējiem) Programmas atbalstu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sociāli ekonomiskajai situācijai atbilstošu ienākumu slieksni tiesību uz Programmas atbalstu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tiesību uz Programmas bērnu pārtikas atbalstu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tiesību aktu precizēti un papildināti Programmas īstenošanas nosacījumi, t.sk. partnerorganizāciju vērtēšanas kritēriji un izdales teritorijas jēdziens.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21. jūnija noteikumu Nr. 381 "Eiropas Sociālā fonda Plus programmas materiālās nenodrošinātības mazināšanai 2021.–2027. gadam īstenošanas noteikumi" (turpmāk - MK noteikumi Nr.381) 4.1.3.1. apakšpunktā noteiktais Programmas maznodrošinātās mājsaimniecības ienākumu līmenis pēdējo reizi pārskatīts 01.01.2023. Atbilstoši likuma "Par sociālo drošību" 2.</w:t>
      </w:r>
      <w:r w:rsidR="00000000" w:rsidRPr="00000000" w:rsidDel="00000000">
        <w:rPr>
          <w:vertAlign w:val="superscript"/>
          <w:rtl w:val="0"/>
        </w:rPr>
        <w:t xml:space="preserve">2</w:t>
      </w:r>
      <w:r w:rsidR="00000000" w:rsidRPr="00000000" w:rsidDel="00000000">
        <w:rPr>
          <w:rtl w:val="0"/>
        </w:rPr>
        <w:t xml:space="preserve"> panta trešajā daļā noteiktajam tas pārskatāms katru gadu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2023.gada jūlija atbalsta saņēmējiem nav pieejams Programmas bērnu pārtikas atbalsts (komplekti ar papildu bērnu pārtikas precēm). Situācija izveidojusies, publiskā iepirkuma procedūrai par komplektu piegādātāju izvēli beidzoties bez rezultāta. Izsludinot atkārtotu iepirkumu, līguma ar potenciālo komplektu piegādātāju slēgšana paredzama š.g. oktobrī, plānota komplektu piegāžu uzsākšana – š.g. novembrī. Kopējais komplektu nepieejamības periods indikatīvi no š.g. jūlija līdz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Nr. 381 iekļautie partnerorganizāciju (turpmāk – PO) atlases nosacījumi, tostarp vērtēšanas kritēriji atsevišķos gadījumos ir neprecīzi formulēti un citos gadījumos nav aktuāli, ņemot vērā plānoto digitalizēto risinājumu (programmas informācijas vadības sistēma) PO atlases procedūras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381 1. pielikumā norādītais normatīvais akts (Eiropas Komisijas 2006. gada 19. decembra Regula (ES) Nr. 1881/2006, ar ko nosaka konkrētu piesārņotāju maksimāli pieļaujamo koncentrāciju pārtikas produktos) 24.05.2023. zaudēja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381 23.punktā un 4.pielikumā norādītais izdales teritorijas jēdziens neatbilst Administratīvo teritoriju un apdzīvoto vietu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381 VI.sadaļā "Partnerorganizāciju atlase" un VII. sadaļā "Sadarbības iestādes un partnerorganizācijas līgums vai vienošanās" nav noteikts, ka partnerorganizāciju atlase un tālākā līgumu vai vienošanās slēgšana tiks veikta programmas informācijas vadības sistēmā, kuras ieviešana plānota š.g. novembrī.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381 4.1.3.1. apakšpunktā noteiktais ienākumi slieksnis Programmas maznodrošinātai mājsaimniecībai – 376 euro pirmajai vai vienīgajai personai mājsaimniecībā, bet katrai nākamajai personai mājsaimniecībā 264 euro, atbilst 60 % </w:t>
      </w:r>
      <w:r w:rsidR="00000000" w:rsidRPr="00000000" w:rsidDel="00000000">
        <w:rPr>
          <w:vertAlign w:val="superscript"/>
          <w:rtl w:val="0"/>
        </w:rPr>
        <w:t xml:space="preserve">1</w:t>
      </w:r>
      <w:r w:rsidR="00000000" w:rsidRPr="00000000" w:rsidDel="00000000">
        <w:rPr>
          <w:rtl w:val="0"/>
        </w:rPr>
        <w:t xml:space="preserve"> no Centrālās statistikas pārvaldes (turpmāk – CSP) 2020. gadā publicētās ienākumu mediānas (627 euro)</w:t>
      </w:r>
      <w:r w:rsidR="00000000" w:rsidRPr="00000000" w:rsidDel="00000000">
        <w:rPr>
          <w:vertAlign w:val="superscript"/>
          <w:rtl w:val="0"/>
        </w:rPr>
        <w:t xml:space="preserve"> 2</w:t>
      </w:r>
      <w:r w:rsidR="00000000" w:rsidRPr="00000000" w:rsidDel="00000000">
        <w:rPr>
          <w:rtl w:val="0"/>
        </w:rPr>
        <w:t xml:space="preserve">, piemērojot Latvijas skalu un noapaļojot summas līdz veseliem euro. Šāds ienākumu slieksnis ir noteikts visam 2023. gadam no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sociālo drošību 2.</w:t>
      </w:r>
      <w:r w:rsidR="00000000" w:rsidRPr="00000000" w:rsidDel="00000000">
        <w:rPr>
          <w:vertAlign w:val="superscript"/>
          <w:rtl w:val="0"/>
        </w:rPr>
        <w:t xml:space="preserve">2</w:t>
      </w:r>
      <w:r w:rsidR="00000000" w:rsidRPr="00000000" w:rsidDel="00000000">
        <w:rPr>
          <w:rtl w:val="0"/>
        </w:rPr>
        <w:t xml:space="preserve"> panta otrajā un trešajā daļā noteiktajam minimālo ienākumu sliekšņus pārskata katru gadu 1. janvārī, ņemot vērā aktuālo minimālo ienākumu mediānu, ko līdz kārtējā gada 1. februārim CSP publicē savā tīmekļvietnē. Un tā tiek ņemta par pamatu, nosakot minimālo ienākumu sliekšņa apmēru nākamajam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Nabadzības riskam pakļauto mājsaimniecību ienākumu apmērs būtu aprēķināms no CSP publicētās minimālo ienākumu mediānas summas par 2021. gadu (60% no 685,78 euro), un piemērojams no 2024. gada 1. janvāra. 2024. gadam aprēķinātais ienākumu slieksnis tiesību uz Programmas atbalstu saņemšanai ir: 412 euro pirmajai vai vienīgajai personai mājsaimniecībā un 288 euro katrai nākamai personai mājsaimniecībā. Noteikumu projektā ienākumu slieksni katru gadu paredzēts izteikt summā (euro), nevis procentuālajā izteiksmē, lai lietotājam – jebkuram sabiedrības loceklim, tostarp Programmas mērķa auditorijai, kā arī iesaistītājām institūcijām, informācija ir skaidra un nepārprotama.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[Iedzīvotāji, kuru ekvivalentie rīcībā esošie ienākumi ir zemāki par 60 % no mājsaimniecību rīcībā esošās ienākumu mediānas, tiek uzskatīti par pakļautiem nabadzības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[https://data.stat.gov.lv/pxweb/lv/OSP_PUB/START__POP__NN__NNM/NNM080/table/tableViewLayout1/]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Programmas maznodrošinātās mājsaimniecības ienākumu līmeni (precizējumi MK noteikumu Nr. 381 4.1.3.1. apakšpunktā). MK noteikumu noslēguma jautājumos iekļaujama informācija, ka izmaiņas 4.1.3.1. apakšpunktā stājas spēkā no 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(turpmāk – SIF) izsludinātā publiskā iepirkuma ietvaros saņemtie pretendentu piedāvājumi bērnu pārtikas produktiem pilnībā neatbilda normatīvajos aktos noteiktajām prasībām un izvirzītajiem kvalitātes standartiem. Šo iemeslu dēļ iepirkumu nācās izbeigt bez rezultāta. Ir izsludināts jauns iepirkums, tā ietvaros pēc piegādātāja izvēles un līguma noslēgšanas, produktu piegādes uz izdales vietām plānots uzsākt š.g. oktobra beigās/novembra sākumā. Šīs izveidojušās situācijas rezultātā Programmas atbalsta saņēmējiem – zemu ienākumu ģimenēm ar maziem bērniem (līdz 2 gadu vecumam), laika posmā no š.g. jūlija līdz indikatīvi š.g. novembrim saņemšanai nav pieejami papildus bērnu pārtikas preču komplekti. Šajā laika posmā, kad nav pieejami minētie komplekti izdalei, mājsaimniecībām var beigties sociālo dienestu izsniegto izziņu par trūcīgās, krīzes situācijā nonākušās vai Programmas nosacījumiem atbilstošas maznodrošinātās mājsaimniecības statusu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ģimenēm ar maziem bērniem joprojām ir pieejams primāri nepieciešamais atbalsts, proti, ikvienam ģimenes loceklim ir pieejamas pārtikas pakas (individuālai izdalei bez vecuma ierobežojuma), kuru sastāvā tostarp ir produkti (auzu pārslas, četru graudu pārslas, manna, tvaicēti rīsi, kartupeļu biezputra, pilnpiena pulveris u.c. produkti), kas ir piemēroti maltīšu gatavošanai arī bērniem, tomēr būtu nepieciešams ģimenēm saglabāt tiesības uz papildu bērnu pārtikas preču komplektu saņemšanu vēlākā laika posmā.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noteikumus Nr. 381 X. nodaļu “Noslēguma jautājums” papildināt ar jaunu 71. punktu, paredzot tiesību uz bērnu pārtikas atbalstu pagarināšanu līdz 31.01.2024., vienlaikus paredzot mājsaimniecībām tiesības izvēlēties atbalsta komplekta veidu pēc bērna vecuma grupas (vai noteikumu 9.1.2. vai 9.1.3.apakšpunktā minēto komplektu), ja pēc izziņas derīguma termiņa beigām bērns pāriet cita vecuma grupā - 13 līdz 24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381 4.pielikumā “Partnerorganizāciju vērtēšanas kritēriji” iekļautie PO atlases vērtēšanas kritēriji (piemēram, kopīgie atbilstības kritēriji 1.6., 1.7. un 1.8.) ir formāli un PO pretendenta iesnieguma vērtēšanas procesā nav pārbaudāmi, jo tiem ir tikai deklaratīvs raksturs, un pēc savas būtības tie izpaužas kā PO pretendentu apņemšanās / nodoms plānotajās darbībās ievērot Programmas nosacījumus. Atstājot tos kopīgo atbilstības kritēriju sarakstā, palielinās administratīvais slogs PO atlases komisijas darbā, veicot formālu kritēriju izvērtēšanu, kam nav ietekmes uz vērtēšanas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kopīgais atbilstības kritērijs 1.9.1. turpmāk vairs nav aktuāls, ņemot vērā plānoto digitalizēto risinājumu PO atlases procedūras veikšanai – Mērķa finansējuma izlietojuma pārvaldības platforma (turpmāk - MAP), kur iesnieguma sagatavošana paredzēta tikai elektroniskā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381 4.pielikuma 3. sadaļā “Kvalitātes kritēriji” noteiktā gradācija 3.1. un 3.2.kritērijā nav precīza, jo tā paredz vienas vienības (piemēram gadu skaitu) iekļaušanu divos vērtējuma intervālos. Šī neprecizitāte veicina kļūdu pieļaušanu PO atlases komisijas ekspertu darbā, piešķirot vērtējuma punktus.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noteikumu Nr. 381 4. pielikuma 1. sadaļā “Kopīgie atbilstības kritēriji”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1.7. un 1.8. kritēriju, tos aizvietojot ar apliecinājumu PO pretendenta iesnieguma veidlapā. Ar programmas sadarbības iestāde (SIF) panākta vienošanās, ka tas tiks paredzēts PO atlases dokumentācijā, kā arī elektronizētajā iesnieguma veidlapā MAP, PO pretendentam atzīmējot standartizētu apliecinājuma tekstu un iesniedzot šo iesniegumu sistēmā MAP.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kritēriju kā neaktuālu, ņemot vērā iesnieguma sagatavošanu MAP.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PO pretendents vai katrs pretendentu apvienības dalībnieks tiks vērtēts atbilstoši šo noteikumu 4. pielikumā minētajiem kopīgajiem atbilstības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svītrot MK noteikumu 47. punkta otro teikumu “Sadarbības iestāde biežāk uzdotos jautājumus un atbildes publicē tās oficiālajā tīmekļvietnē (www.sif.gov.lv).”, jo turpmāk PO atlases procedūra un visas ar to saistītas darbības, tostarp, informācijas apmaiņa, plānota MAP.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noteikumu Nr. 381 49.2. apakšpunktā precizēt teksta redakciju atbilstoši šo noteikumu 4. pielikumā 2. sadaļā noteiktajam (tehniskais precizējums atbilstoši 2.</w:t>
      </w:r>
      <w:r w:rsidR="00000000" w:rsidRPr="00000000" w:rsidDel="00000000">
        <w:rPr>
          <w:vertAlign w:val="superscript"/>
          <w:rtl w:val="0"/>
        </w:rPr>
        <w:t xml:space="preserve">2</w:t>
      </w:r>
      <w:r w:rsidR="00000000" w:rsidRPr="00000000" w:rsidDel="00000000">
        <w:rPr>
          <w:rtl w:val="0"/>
        </w:rPr>
        <w:t xml:space="preserve"> piezīmei – Ja PO ir apvienība, pēc specifiskajiem atbilstības kritērijiem vērtē visus apvienības dalībniekus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noteikumu Nr. 381 4. pielikuma 3. sadaļas 3.1. un 3.2. kritērija ailē “Apakškritēriji/punktu skaits” precizēt vērtību intervālus, lai viena vērtība vienlaikus nebūtu divu vērtējumu skalās.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381 1. pielikumā “Programmas īstenošanai paredzēto pārtikas preču ražošanas, nekaitīguma un kvalitātes kritēriji” norādītais normatīvais akts – Eiropas Komisijas 2006. gada 19. decembra Regula (ES) Nr. 1881/2006, ar ko nosaka konkrētu piesārņotāju maksimāli pieļaujamo koncentrāciju pārtikas produktos, 24.05.2023. zaudēja spēku. Ņemot vērā, ka minētajā pielikumā norādītos normatīvos aktus izmanto preču ražošanas un kvalitātes kritēriju noteikšanā publisko iepirkumu procesā, iekļaujot tos iepirkuma dokumentācijas tehniskajā specifikācijā, var veidoties situācijas ar kļūdainu dokumentāciju.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 381 1. pielikumu, tajā norādīto normatīvo aktu “Eiropas Komisijas 2006. gada 19. decembra Regula (ES) Nr. 1881/2006, ar ko nosaka konkrētu piesārņotāju maksimāli pieļaujamo koncentrāciju pārtikas produktos” aizstāt ar normatīvo aktu “Eiropas Komisijas 2023. gada 25. aprīļa Regula (ES) 2023/915 par konkrētu kontaminantu maksimālajiem līmeņiem pārtikā un ar ko atceļ Regulu (EK) Nr. 1881/2006”.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punktā definētā izdales teritorija neatbilst Administratīvo teritoriju un apdzīvoto vietu likumā (turpmāk – Likums) noteiktajam administratīvo teritoriju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pielikuma 3.4.1.1., 3.4.1.2., 3.4.1.3. un 3.4.3. apakšpunktā noteiktais apzīmējums izdales teritorijai – „valstspilsēta“, „novads“ un „novada pilsēta“ neatbilst Likuma noteiktajam administratīvo teritoriju iedalījumam.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noteikumu Nr. 381: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punktu izteikt šādā precizētā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partnerorganizācija saskaņā ar līgumu vai vienošanos, kas noslēgta ar sadarbības iestādi, nodrošina maltīti valstspilsētas pašvaldības administratīvajā teritorijā (turpmāk – izdales teritorija), par maltīti uzskatāma viena ēdienreize, piedāvājot ēdināšanu uz vietas vai ēdienu līdzņemšanai."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pielikuma 3.punktā precizēt 3.4.1.1., 3.4.1.2., 3.4.1.3. un 3.4.3. apakšpunkta redakciju, vārdu „valstspilsēta“ un „novads“ aizstājot ar vārdiem „valstspilsētas pašvaldības teritorija“ un „novada pašvaldības teritorija“ attiecīgajā locījumā, kā arī 3.4.3. apakšpunktā vārdus "Rīgas valstspilsētas pašvaldības administratīvi teritoriālā vienība, valstspilsēta, novads vai novada pilsēta" aizstāt ar vārdiem "pašvaldības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pielikuma piezīmi (9. </w:t>
      </w:r>
      <w:r w:rsidR="00000000" w:rsidRPr="00000000" w:rsidDel="00000000">
        <w:rPr>
          <w:vertAlign w:val="superscript"/>
          <w:rtl w:val="0"/>
        </w:rPr>
        <w:t xml:space="preserve">7</w:t>
      </w:r>
      <w:r w:rsidR="00000000" w:rsidRPr="00000000" w:rsidDel="00000000">
        <w:rPr>
          <w:rtl w:val="0"/>
        </w:rPr>
        <w:t xml:space="preserve"> ) svītrot.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69.panta 8.punkta pirmajā daļā noteiktajam dalībvalstis nodrošina, ka visa informācijas apmaiņa starp saņēmējiem un programmas iestādēm notiek, izmantojot elektroniskas datu apmaiņas sistēmas saskaņā ar regulas Nr.2021/1060 XIV pielikumu. Vienlaikus 69.panta 8.punkta pēdējā daļā noteikts, ka šī punkta pirmo daļu nepiemēro programmām vai prioritātēm, kas noteiktas ESF+ regulas 4. panta 1. punkta m) apakšpunktā. Taču, ņemot vērā ES fondu ieviešanā, vadībā un īstenošanā piemērojamo praksi attiecībā uz nepieciešamo datu uzkrāšanu un pieejamību, kā arī regulas Nr.2021/1060 69.panta 1., 2., 3., 4. un 6.punktā, 72.panta 1.punktā un 74.pantā noteiktās prasības, kas jāizpilda dalībvalstīm attiecībā uz Programmas vadības un kontroles sistēmas izveidi un tās efektīvu funkcionēšanu, pārbaudēm un kontrolēm, datu un rādītāju precizitāti, kvalitāti un pilnīgumu, izdevumu likumību un pareizību, revīzijas liecību nodrošināšanu un glabāšanu u.tml., un ņemot vērā to, ka programmām vai prioritātēm, kas noteiktas ESF+ regulas 4. panta 1. punkta m) apakšpunktā, nav noteikti izņēmumi vai atlaides iepriekš minēto prasību izpildei, Programmas vadībai un īstenošanai būtu nepieciešams piemērot regulas Nr.2021/1060 69.panta 8.punkta pirmajā daļā noteikto, proti, izveidot un izmantot elektronisku datu apmaiņas sistēmu saskaņā ar regulas Nr.2021/1060 XIV pielikumu. Elektroniska datu apmaiņas sistēma ļaus Programmas īstenošanā un vadībā nodrošināt iepriekš minētās regulas prasības, uzkrāt datus un darīt tos pieejamus uzraugošām un kontrolējošām institūcijām, līdzīgi kā tas ir organizēts citu ES līdzfinansēto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Sociālā fonda Plus programmas materiālās nenodrošinātības mazināšanai 2021.—2027. gada plānošanas perioda vadības likuma 6.panta trešās daļas 12.punktā noteikto Sadarbības iestādei ir noteikts šāds pienākums: </w:t>
      </w:r>
      <w:r w:rsidR="00000000" w:rsidRPr="00000000" w:rsidDel="00000000">
        <w:rPr>
          <w:b w:val="1"/>
          <w:u w:val="single"/>
          <w:rtl w:val="0"/>
        </w:rPr>
        <w:t xml:space="preserve">nodrošināt programmas vadības informācijas sistēmas darbību</w:t>
      </w:r>
      <w:r w:rsidR="00000000" w:rsidRPr="00000000" w:rsidDel="00000000">
        <w:rPr>
          <w:rtl w:val="0"/>
        </w:rPr>
        <w:t xml:space="preserve">, </w:t>
      </w:r>
      <w:r w:rsidR="00000000" w:rsidRPr="00000000" w:rsidDel="00000000">
        <w:rPr>
          <w:u w:val="single"/>
          <w:rtl w:val="0"/>
        </w:rPr>
        <w:t xml:space="preserve">veicot regulas Nr. 2021/1060 72. panta 1. punkta "e" apakšpunktā minētās funkcijas (t.i., </w:t>
      </w:r>
      <w:r w:rsidR="00000000" w:rsidRPr="00000000" w:rsidDel="00000000">
        <w:rPr>
          <w:rtl w:val="0"/>
        </w:rPr>
        <w:t xml:space="preserve">ierakstīt un uzglabāt elektroniski tos datus par katru darbību, kas nepieciešami uzraudzībai, izvērtēšanai, finanšu pārvaldībai, verifikācijām un revīzijām saskaņā ar regulas Nr. 2021/1060 XVII pielikumu, un nodrošināt datu drošību, integritāti un konfidencialitāti un lietotāju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2022. gada 14. jūlija noteikumu Nr. 443 “Eiropas Sociālā fonda Plus programmas materiālās nenodrošinātības mazināšanai 2021.–2027. gadam īstenošanas uzraudzības noteikumi” (turpmāk – MK noteikumu Nr. 443) VII. sadaļā “Programmas vadības informācijas sistēmas izveidošanas un izmantošanas kārtība” noteiktajam </w:t>
      </w:r>
      <w:r w:rsidR="00000000" w:rsidRPr="00000000" w:rsidDel="00000000">
        <w:rPr>
          <w:b w:val="1"/>
          <w:u w:val="single"/>
          <w:rtl w:val="0"/>
        </w:rPr>
        <w:t xml:space="preserve">Programmas īstenošanā, vadībā un uzraudzībā tiks izmantota Programmas vadības informācijas sistēma</w:t>
      </w:r>
      <w:r w:rsidR="00000000" w:rsidRPr="00000000" w:rsidDel="00000000">
        <w:rPr>
          <w:rtl w:val="0"/>
        </w:rPr>
        <w:t xml:space="preserve"> - Mērķa finansējuma izlietojuma pārvaldības platforma (turpmāk – MAP platforma). Šobrīd MAP platforma ir pēdējā izstrādes stadijā, un tā ieviešanas uzsākšana plānota š.g. novembrī. MAP platformas darbību un izmantošanas kārtību nosaka  Mērķa finansējuma izlietojuma pārvaldības platformas noteikumi (tiesību akts 23-TA-1157), virzības stadija –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novembrī, pēc tiesību akta 23-TA-1157 pieņemšanas valdībā un MAP platformas darbības uzsākšanas, Programmas ietvaros sadarbības iestāde (turpmāk – SI) plāno izsludināt konkursu pirmajai partnerorganizāciju atlasei atbilstoši MK noteikumu Nr. 381 VI. sadaļā “Partnerorganizāciju atlase”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Partnerorganizāciju atlase (konkursa izsludināšana, iesniegumu iesniegšana, vērtēšana, lēmumu paziņošana u.tml.) un sekojošā līgumu vai vienošanās slēgšana, kā arī līgumu vai vienošanās izpildes uzraudzība, tiek plānota MAP platformā. Šobrīd MK noteikumos Nr. 381 ir noteikti vispārīgi nosacījumi atlases veikšanai, taču nav norādīts veids, kādā tiek plānots īstenot partnerorganizāciju izlasi. Ņemot vērā MAP platformas ieviešanu, MK noteikumos nepieciešams norādīt tās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 381 nav atsevišķi noteikts SI lēmumu paziņošanas veids. Tas nav noteikts arī Eiropas Sociālā fonda Plus programmas materiālās nenodrošinātības mazināšanai 2021.—2027. gada plānošanas perioda vadības likuma 16. pantā, jo informācija un dokumentu paziņošanas kārtība ir noteikta citā normatīvajā aktā, proti Paziņošanas likumā, un tā normu dublēšana Programmas normatīvajos aktos nav nepieciešama. Taču, ņemot vērā, ka Programmas ietvaros partnerorganizāciju atlase, līgumu vai vienošanās slēgšana un tālākā to izpildes uzraudzība, tostarp paziņošana par SI lēmumiem, paredzēta MAP platformā, nepieciešams atsevišķi atrunāt dokumenta paziņošanas veidu atbilstoši Paziņošanas likuma 3. panta otrajā daļā noteiktajam, ja šis paziņošanas veids nav noteikts šī likuma 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partnerorganizācijas atlases veikšanu, tostarp, izsludināšanu MAP platformā, visi atlases dokumenti, tostarp, iesnieguma veidlapa elektroniskā formātā, būs pieejami MAP platformā. Savukārt SI oficiālajā tīmekļvietnē (www.sif.gov.lv) tiks ievietots atlases nolikums, kurā tiks iekļauti visi atlases nosacījumi un norāde uz MAP platformu, kurā savukārt tiks veikta iesniegumu iesniegšana, vērtēšana, lēmumu paziņošana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Nr.381 48.punktā ir norādīts, ka pretendents iesniedz SI iesniegumu atbilstoši tās oficiālajā tīmekļvietnē (www.sif.gov.lv) ievietotajam iesnieguma veidlapas paraugam. Šī informācija neatbilst plānotajai kārtībai un ir precizējama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turpinot līdzšinējo praksi EAFVP 2014.-2020.g.ietvaros , kā arī piemērojot vispārīgo praksi ES fondu ieviešanā, informāciju par atklāto konkursu - partnerorganizāciju atlasi nepieciešams publicēt oficiālajā izdevumā "Latvijas Vēstnesis". Nepieciešams precizēt MK noteikumu Nr. 381 44.punktu, iekļaujot publicēšanas nosacījumu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partnerorganizāciju atlases rezultātā līgumu vai vienošanās ar partnerorganizācijām slēgšana, kā arī tālākā līgumu vai vienošanās izpildes uzraudzība tiek plānota MAP platformā, nepieciešams to norādīt MK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noteikumu Nr. 381: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"Partnerorganizāciju atlasi veic sadarbības iestāde saskaņā ar partnerorganizāciju atlases nolikumu (turpmāk – atlases nolikums) un šo noteikumu 4. pielikumā minētajiem kritērijiem, izmantojot programmas vadības informācijas sistēmu (turpmāk - programmas vadības informācijas sistēma). Sadarbības iestāde lēmumu piešķirt tiesības būt par partnerorganizāciju, piešķirt minētās tiesības ar nosacījumu vai noraidīt tās, kā arī atzinumus par lēmumā piešķirt minētās tiesības ar nosacījumu noteikto nosacījumu izpildi vai neizpildi, paziņo programmas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Sadarbības iestāde iesniedz publicēšanai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paziņojumu par partnerorganizāciju atlases izsludināšanu, iesniegumu pieņemšanas termiņu un norādi uz sadarbības iestādes tīmekļvietni (www.sif.gov.lv), kurā publicēts partnerorganizācijas atlases nolikums, – ne vēlāk kā 20 darbdienas pirms pretendentu iesniegumu iesniegšanas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paziņojumu par partnerorganizāciju atlases termiņa pagarināšanu, tās pārtraukšanu vai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tiesības būt par partnerorganizāciju, pretendents iesniedz sadarbības iestādē iesniegumu atbilstoši tās oficiālajā tīmekļvietnē (www.sif.gov.lv) ievietotā atlases nolikuma nosacījumiem un pievieno atlases nolikumā noteiktos dokumentus, ja tas spēj nodrošināt šo noteikumu 42. punktā minētās pārtikas un pamata materiālās palīdzības sniegšanu pilnībā vai daļēji vismaz vienā izdales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punktu papildināt ar jaunu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vai vienošanos slēdz, groza, kā arī sniedz citu ar līguma vai vienošanās izpildi saistītu informāciju, programmas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plānotie grozījumi 40., 48. un 55. punktā saistīti ar tiesību akta 23-TA-1157 pieņemšanu, proti, ar MAP platformas darbības uzsākšanu, tie virzāmi vienlaikus ar vai uzreiz pēc tiesību akta 23-TA-1157 stāšanās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un krīzes situācijā nonākušo mājsaimniecību locekļi, t.sk. Ukrainas civiliedzīvotāji, kas ir Programmas atbalsta saņēmēji Ukrainas civiliedzīvotāju atbalsta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Labvēlīga ietekme uz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sociāli ekonomiskajai situācijai un sociālās aizsardzības likumdošanai atbilstošu ienākumu līmeni tiesību uz atbalstu saņemšanai no 01.01.2024.;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mājsaimniecībām pagarinājumu tiesībām uz bērnu pārtikas atbalstu, ko varēs saņemt vēlākā laikā, kad atbalsts būs pieejams izdalei.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partnerorganizāciju pretendenti (NVO, pašvaldību iestādes, reliģiskās organizācijas)
-sadarbības iestāde (SIF)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samazinot administratīvo slogu PO un SIF atlases komisijai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Mērķa finansējuma izlietojuma pārvaldības platformas noteikumi (23-TA-1157)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tiek izmantota Mērķa finansējuma izlietojuma pārvaldības platforma (turpmāk - MAP platforma). MAP platforma tiks izmantota kā Programmas vadības informācijas sistēma, kas nodrošinās Programmas procesu pārvaldību un caurspīdīgumu visos Programmas īstenošanas ciklos: no partnerorganizāciju atlases līdz visu noslēgto līgumu vai vienošanās saistību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32023R0915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2023/915 (2023. gada 25. aprīlis) par konkrētu kontaminantu maksimālajiem līmeņiem pārtikā un ar ko atceļ Regulu (EK) Nr. 1881/2006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REGULAS (ES) 2021/1057 (2021. gada 24. jūnijs), ar ko izveido Eiropas Sociālo fondu Plus (ESF+) un atceļ Regulu (ES) Nr. 1296/2013 19. panta "Principi" 1.punktā noteiktajam Materiālās nenodrošinātības mazināšanai </w:t>
      </w:r>
      <w:r w:rsidR="00000000" w:rsidRPr="00000000" w:rsidDel="00000000">
        <w:rPr>
          <w:u w:val="single"/>
          <w:rtl w:val="0"/>
        </w:rPr>
        <w:t xml:space="preserve">paredzēto ESF+ atbalstu izmanto vienīgi tādas pārtikas un preču izdalīšanai</w:t>
      </w:r>
      <w:r w:rsidR="00000000" w:rsidRPr="00000000" w:rsidDel="00000000">
        <w:rPr>
          <w:rtl w:val="0"/>
        </w:rPr>
        <w:t xml:space="preserve">, kas </w:t>
      </w:r>
      <w:r w:rsidR="00000000" w:rsidRPr="00000000" w:rsidDel="00000000">
        <w:rPr>
          <w:u w:val="single"/>
          <w:rtl w:val="0"/>
        </w:rPr>
        <w:t xml:space="preserve">atbilst Savienības tiesību aktiem par patēriņa preču nekaitīgumu</w:t>
      </w:r>
      <w:r w:rsidR="00000000" w:rsidRPr="00000000" w:rsidDel="00000000">
        <w:rPr>
          <w:rtl w:val="0"/>
        </w:rPr>
        <w:t xml:space="preserve">. Ņemot vērā iepriekš minēto, kā arī Programmā (1.5.apakšpunkta 23. un 24.rindkopā) noteikto principu par atbilstību veselīga uztura nosacījumiem, izvirzāmie atlases kritēriji produktiem nosakāmi MK noteikumos Nr.381, lai iepirkuma veicējam - Sabiedrības integrācijas fondam ir skaidra un nepārprotama informācija iepirkuma dokumentācijai sagatavošanai un publiskā iepirkuma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Nr.2021/1060 69.panta 8.punkta pirmajā daļā noteiktajam dalībvalstis nodrošina, ka visa informācijas apmaiņa starp saņēmējiem un programmas iestādēm notiek, izmantojot elektroniskas datu apmaiņas sistēmas saskaņā ar XIV pielikumu.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2023/915 (2023. gada 25. aprīlis) par konkrētu kontaminantu maksimālajiem līmeņiem pārtikā un ar ko atceļ Regulu (EK) Nr. 1881/2006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2023/915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1.pielikuma 3., 7., 10., 14., 15., 16., 17., 23. un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2023/915 3.panta 3.punktā noteikts, ka ja šīs regulas I pielikumā nav noteikti konkrēti Savienības maksimāli līmeņi zīdaiņu un mazu bērnu pārtikai, dalībvalstis šādai pārtikai var paredzēt stingrākus maksimālos līmeņus. Programmas ietvaros šāda rīcības brīvība netiek izmantota.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Normatīvajā aktā dalībvalstīm uzliktas saistības sniegt paziņojumu ES institūcijām vai ES dalībvalstīm nav veicama Programmas ietvaros.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Nr.2021/1060 69.panta 8.punkta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 paredz pilnībā pārņemt regulas 2021/1060 69.panta 8.punkta pirmajā daļā noteikto, neņemot vērā šīs regulas 69.panta 8.punkta pēdējā daļā noteikto normu, kas ļauj Programmai nepiemērot 8.punkta pirmajā daļā noteikto.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Nr.2021/1060 69.panta 8.punkta pirmajā daļā noteiktajam dalībvalstis nodrošina, ka visa informācijas apmaiņa starp saņēmējiem un programmas iestādēm notiek, izmantojot elektroniskas datu apmaiņas sistēmas saskaņā ar regulas Nr.2021/1060 XIV pielikumu. Vienlaikus 69.panta 8.punkta pēdējā daļā noteikts, ka šī punkta pirmo daļu nepiemēro programmām vai prioritātēm, kas noteiktas ESF+ regulas 4. panta 1. punkta m) apakšpunktā. Taču, ņemot vērā ES fondu ieviešanā, vadībā un īstenošanā piemērojamo praksi attiecībā uz nepieciešamo datu uzkrāšanu un pieejamību, kā arī regulas Nr.2021/1060 69.panta 1., 2., 3., 4. un 6.punktā, 72.panta 1.punktā un 74.pantā noteiktās prasības, kas jāizpilda dalībvalstīm attiecībā uz Programmas vadības un kontroles sistēmas izveidi un tās efektīvu funkcionēšanu, pārbaudēm un kontrolēm, datu un rādītāju precizitāti, kvalitāti un pilnīgumu, izdevumu likumību un pareizību, revīzijas liecību nodrošināšanu un glabāšanu u.tml., un ņemot vērā to, ka programmām vai prioritātēm, kas noteiktas ESF+ regulas 4. panta 1. punkta m) apakšpunktā, nav noteikti izņēmumi vai atlaides iepriekš minēto prasību izpildei, Programmas vadībai un īstenošanai būtu nepieciešams piemērot regulas Nr.2021/1060 69.panta 8.punkta pirmajā daļā noteikto, proti, izveidot un izmantot elektronisku datu apmaiņas sistēmu saskaņā ar regulas Nr.2021/1060 XIV pielikumu. Elektroniska datu apmaiņas sistēma ļaus Programmas īstenošanā un vadībā nodrošināt iepriekš minētās regulas prasības, uzkrāt datus un darīt tos pieejamus uzraugošām un kontrolējošām institūcijām, līdzīgi kā tas ir organizēts citu ES līdzfinansēto programmu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iestrādātās normas ir labvēlīgas zemu ienākumu mājsaimniecībām, kā arī Ukrainas civiliedzīvotājiem, pagarinot tām tiesības uz bērnu pārtikas atbalstu pārrāvuma laikā, kā arī no 01.01.2024. tām paaugstinot ienākumu slieksni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nav iekļautas normas, kas ierobežo vai samazina tiesības sabiedrības grupām.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izpildei nav ietekmes uz iesaistītajām institūcijām, to darba apjoms, vadības un kontroles sistēma kopumā nemainās. Savukārt atsevišķu PO vērtēšanas kritēriju konsolidēšana veicina administratīvā sloga un kļūdu pieļāušanas iespējamības mazināšanu.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zemu ienākumu un krīzes situācijā nonākušo mājsaimniecību, kā arī Ukrainas civiliedzīvotāju situāciju ir labvēlīga, pagarinot tām tiesības uz bērnu pārtikas atbalstu, kā arī no 01.01.2024. paaugstinot tām ienākumu slieksni atbalsta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23-TA-2083</w:t>
    </w:r>
    <w:r>
      <w:br/>
    </w:r>
    <w:r w:rsidR="00000000" w:rsidRPr="00000000" w:rsidDel="00000000">
      <w:rPr>
        <w:rtl w:val="0"/>
      </w:rPr>
      <w:t xml:space="preserve">Izdrukāts 30.07.2026. 00.23 - 5.0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23-TA-2083</w:t>
    </w:r>
    <w:r>
      <w:br/>
    </w:r>
    <w:r w:rsidR="00000000" w:rsidRPr="00000000" w:rsidDel="00000000">
      <w:rPr>
        <w:rtl w:val="0"/>
      </w:rPr>
      <w:t xml:space="preserve">Izdrukāts 30.07.2026. 00.23 - 5.0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anotācija_(ex_ante)_23-TA-2083.docx</dc:title>
</cp:coreProperties>
</file>

<file path=docProps/custom.xml><?xml version="1.0" encoding="utf-8"?>
<Properties xmlns="http://schemas.openxmlformats.org/officeDocument/2006/custom-properties" xmlns:vt="http://schemas.openxmlformats.org/officeDocument/2006/docPropsVTypes"/>
</file>