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693 "Būvju vispārīgo prasību būvnormatīvs LBN 200-21""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19. oktobra noteikumos Nr. 693 "Būvju vispārīgo prasību būvnormatīvs LBN 200-21"" (turpmāk - projekts) izstrādāts, lai Ministru kabineta 2021. gada 19. oktobra noteikumos Nr. 693 "Būvju vispārīgo prasību būvnormatīvs LBN 200-21" (turpmāk - LBN 200-21) precizētu apbūves laukuma noteikšanu un novērstu praksē konstatētos trūkumus.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precizēt apbūves laukuma noteikšanu, nosakot skaidrāk kādas ēkas daļas ietekmē apbūves laukumu, lai nodrošinātu vienveidīgu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par ēkas apbūves laukuma, ēkas kopējās platības, telpas platības noteikšanu var neattiecināt uz būvniecības iecerēm, kas noteiktā kārtībā saskaņotas (akceptētas) vai iesniegtas saskaņošanai būvvaldē līdz 2026.gada 31.jūlijam. Tas nodrošinās iespēju būvniecības ierosinātajam laikus sagatavoties normatīvā regulējuma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200-21 13.punkts nosaka to, kādas ēkas daļas ietekmē apbūves laukumu (ir jāiekļauj apbūves laukumā), savukārt LBN 200-21 14.punkts nosaka to, kādi ēkas elementi nav jāiekļauj apbūves laukumā, kaut arī atbilst kādam no kritērijiem 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atšķirīgi tiek piemērots, ko ietvert ēkas apbūves laukumā, piemēram, ar ēku konstruktīvi nesaistītus labiekārtojuma elementus, blakus būves, kā arī nav skaidri definēti kritēriji par ēkas pazemes daļu, dažādiem stiprinājumiem, aprīkojumiem un iekārtām pie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200-21 13.4. apakšpunkts paredz, ka ēkas apbūves laukumā ieskaita arī laukumu zem ēkai piebūvētas nojumes, lieveņa, terases, ārējām kāpnēm, pandusa, lokālās uzbrauktuves un tamlīdzīgām ēkas daļām. Praksē ir izveidojusies atšķirīga pieeja par nojumes, terases, pandusu un citu veida labiekārtojuma elementu būvniecību pie ēkas (blakus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Būvniecības likuma 1.pantā dotajiem terminu skaidrojumiem </w:t>
      </w:r>
      <w:r w:rsidR="00000000" w:rsidRPr="00000000" w:rsidDel="00000000">
        <w:rPr>
          <w:i w:val="1"/>
          <w:rtl w:val="0"/>
        </w:rPr>
        <w:t xml:space="preserve">būve</w:t>
      </w:r>
      <w:r w:rsidR="00000000" w:rsidRPr="00000000" w:rsidDel="00000000">
        <w:rPr>
          <w:rtl w:val="0"/>
        </w:rPr>
        <w:t xml:space="preserve"> ir būvdarbu rezultātā radusies ar zemi vai gultni saistīta ķermeniska lieta (ēka vai inženierbūve), kurai ir nosakāms būves lietošanas veids. Būvniecības likuma 11.pantā noteikts, ka būves iedala ēkās un inženierbūvēs. </w:t>
      </w:r>
      <w:r w:rsidR="00000000" w:rsidRPr="00000000" w:rsidDel="00000000">
        <w:rPr>
          <w:i w:val="1"/>
          <w:rtl w:val="0"/>
        </w:rPr>
        <w:t xml:space="preserve">Ēka</w:t>
      </w:r>
      <w:r w:rsidR="00000000" w:rsidRPr="00000000" w:rsidDel="00000000">
        <w:rPr>
          <w:rtl w:val="0"/>
        </w:rPr>
        <w:t xml:space="preserve"> ir atsevišķi lietojama apjumta vai segta būve, kura atbilst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tajā var ieiet cilvēks, un tās iekštelpas lielākais augstums ir vismaz 1,6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ir piemērota cilvēku vai dzīvnieku patvērumam vai priekšmetu 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tai ir nosakāms ēkas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w:t>
      </w:r>
      <w:r w:rsidR="00000000" w:rsidRPr="00000000" w:rsidDel="00000000">
        <w:rPr>
          <w:i w:val="1"/>
          <w:rtl w:val="0"/>
        </w:rPr>
        <w:t xml:space="preserve">inženierbūve</w:t>
      </w:r>
      <w:r w:rsidR="00000000" w:rsidRPr="00000000" w:rsidDel="00000000">
        <w:rPr>
          <w:rtl w:val="0"/>
        </w:rPr>
        <w:t xml:space="preserve"> ir būve, kura neatbilst kādai no noteiktajām ēkas pazīmēm un kurai inženierbūves lietošanas veids ir nosakāms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ārtelpas labiekārtojuma elements</w:t>
      </w:r>
      <w:r w:rsidR="00000000" w:rsidRPr="00000000" w:rsidDel="00000000">
        <w:rPr>
          <w:rtl w:val="0"/>
        </w:rPr>
        <w:t xml:space="preserve"> ir ainavas un pilsētvides dizaina elements (tai skaitā mazā arhitektūras forma) un cita ar zemi vai gultni saistīta ķermeniska lieta, kura radusies būvdarbu rezultātā un kurai nav nosakāms būves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ēkas daļa var nebūt nojume (atsevišķa ēka ar savām konstrukcijām), terase (ārtelpas labiekārtojuma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200-21 13. un 14.punktu, nosakot, kad nojumes, lieveņus, terases, ārējām kāpnes, pandusus un cita veida labiekārtojuma elementus ietvert vai neietver apbūves laukumā. Atbilstoši veiktajiem precizējumiem ēkas apbūves laukumā nepieciešams salāgot prasības arī ar ēkas kopējās un telpu platības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ka ēkas apbūves laukumā iekļauj tikai ēkas lielāko virszemes ārējo perimetru, bet tajā neiekļauj pie ēkas izbūvētus ārtelpas labiekārtojuma elementus, pie ēkas izbūvētu terasi, laipu, lieveņu tipa laukumu u.tml., pie ēkas piestiprinātus visāda veida stiprinājumus, aprīkojumu un iekārtas, kā arī pie ēkas izbūvētas dažāda veida konstrukcijas, piemēram, nojumes, pie ēkas izbūvētu terašu, āra kāpnes, pandusus, un tamlīdzīgas ēkas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terase ir apjumta, tā ir nojume. Savukārt brīvstāvoša terase ir ārtelpas labiekārtojuma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precizējumiem ēkas apbūves laukumā prasības salāgotas arī ar ēkas kopējās platības noteikšanu, proti, platībā neieskaita lieveņu, zemes līmenī izbūvētu terašu, rampu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būvniecības iecerē, kas noteiktā kārtībā saskaņota (akceptēta) vai iesniegta saskaņošanai būvvaldē līdz šo grozījumu spēkā stāšanās dienai, var nepārrēķināt ēkas apbūves laukumu, ēkas kopējās platību, telpas platību, bet tas neliedz jebkurā brīdī iepriekš uzsāktā būvniecības iecerē precizēt šo rādītājus, ja to vēlas.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ēkas apbūves laukumā iekļauj ēkas lielāko virszemes ārējo perimetru, tad, veicot ēkas energoefektivitātes pasākumus, kas paredz esošas ēkas ārsienu vai jumta siltināšanu (piemēram, siltinājumu kārta ar apdari), mainās ēkas ārējais perimetrs. Ēkas apbūves laukums ietekmē arī citus apbūvi raksturojošos parametrus, piemēram, apbūves blīvumu, apbūves intensitāti, brīvās zaļās teritorijas rādītāju, ko nosaka Ministru kabineta 2013.gada 30.aprīļa noteikumi Nr.240 "Vispārīgie teritorijas plānošanas,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klimata mērķu sasniegšanu un ēkām tiktu veikti energoefektivitātes uzlabošanas pasākumi, nodrošinot raitāku šo darbu veikšanu, ir nepieciešams noteikt, ka jebkuri ēkas ārējo norobežojošo konstrukciju energoefektivitātes darbi (piemēram, siltināšana, apdare nomaiņa) nav uzskatāmi par ēkas būvapjoma izmaiņām, kā arī tie neietekmē ēkas attālumu līdz citām būvēm, zemes vienības robežām. Šādos gadījumos nav jāpārvērtē arī apbūvi raksturojošie parametri.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ēkas atjaunošanas un pārbūves gadījumā, ciktāl tas attiecas uz ēkas konstrukciju energoefektivitātes uzlabošanu, nepārvērtē ēkas norobežojošo konstrukciju attāluma izmaiņas līdz citām būvēm vai zemes vienības robežām, kā arī nepārvērtē šādas ēkas apbūves laukumu, blīvumu un apbūves intensitāti. Jānorāda, ka šādi energoefektivitātes uzlabošanas darbi veicami ievērojot sava zemesgabala robežas, kā arī tie nedrīkst pazemināt būves ugunsdrošību. Tomēr gadījumos, kad esoša ēka jau atrodas tuvāk par 4 metriem no zemesgabala robežas vai tieši uz robežas, tiesu praksē nostiprināta atziņa, ka prasība saskaņot uz robežas esošas ēkas siltināšanu ar blakus zemes vienības īpašnieku, nesamērīgi ierobežo esošas ēkas stāvokļa uzlabošanu atbilstoši mūsdienu iespējām un standartiem. Pat ja ir iespējama ēkas siltināšana no iekšpuses, tās efektivitāte salīdzinoši ir apšaubāma, turklāt tā nekalpos kā ārējo sienu nostiprinājums, kas var būt nepieciešams konkrētajā gadījumā (Senāta 2013.gada 3.oktobra sprieduma lietā Nr. SKA‑687/2013 (A42728108) 6.punkts). Tādējādi vēsturiski izveidojušās situācijās, kad ēka ir izbūvēta uz robežas vai tuvu tai un ir nepieciešama tās siltināšana, siltināšanas darbiem blakus zemes gabala īpašnieka piekrišana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izstrādātāji (būvspeciālisti)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regulējums par ēkas apbūves laukumu, samazinās problēmsituācijas par tā noteikšanu. Šādas izmaiņas nerada administratīvo slogu, jo tiek precizēti tikai apbūves laukuma noteikšanas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izstrādātāji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regulējums par ēkas apbūves laukumu, samazinās problēmsituācijas par tā noteikšanu. Šādas izmaiņas nerada administratīvo slogu, jo tiek precizēti tikai apbūves laukuma noteikšanas kritēriji.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https://tapportals.mk.gov.lv/public_participation/3c94e9a2-4229-40b3-a3c6-d4fc6fb44ccb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privātpersonas ierosinājums par grozījumu veikšanu LBN 200-21 35.punktā, kas nav šī projekta jautājums un neattiecas uz ēkas apbūves laukuma noteikšanu. Viedokļu pārskats ir pievienots TAP lietai.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26-TA-510</w:t>
    </w:r>
    <w:r>
      <w:br/>
    </w:r>
    <w:r w:rsidR="00000000" w:rsidRPr="00000000" w:rsidDel="00000000">
      <w:rPr>
        <w:rtl w:val="0"/>
      </w:rPr>
      <w:t xml:space="preserve">Izdrukāts 29.07.2026. 22.55 - 5.0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26-TA-510</w:t>
    </w:r>
    <w:r>
      <w:br/>
    </w:r>
    <w:r w:rsidR="00000000" w:rsidRPr="00000000" w:rsidDel="00000000">
      <w:rPr>
        <w:rtl w:val="0"/>
      </w:rPr>
      <w:t xml:space="preserve">Izdrukāts 29.07.2026. 22.55 - 5.0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anotācija_(ex_ante)_26-TA-510.docx</dc:title>
</cp:coreProperties>
</file>

<file path=docProps/custom.xml><?xml version="1.0" encoding="utf-8"?>
<Properties xmlns="http://schemas.openxmlformats.org/officeDocument/2006/custom-properties" xmlns:vt="http://schemas.openxmlformats.org/officeDocument/2006/docPropsVTypes"/>
</file>