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oktobra noteikumos Nr. 579 "Valsts un Eiropas Savienības atbalsta piešķiršanas kārtība Eiropas Jūrlietu, zvejniecības un akvakultūras fonda pasākumam "Sabiedrības virzītas vietējās attīstības stratēģiju īstenošana"""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10. oktobra noteikumos Nr. 579 "Valsts un Eiropas Savienības atbalsta piešķiršanas kārtība Eiropas Jūrlietu, zvejniecības un akvakultūras fonda pasākumam "Sabiedrības virzītas vietējās attīstības stratēģiju īstenošana""" (turpmāk – noteikumu projekts) ir sagatavots, pamatojoties uz Lauksaimniecības un lauku attīstības likuma 5. panta ceturto un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skaidrākus, efektīvāk piemērojamus un aktuālajam regulējumam atbilstošus valsts un Eiropas Savienības atbalsta saņemšanas nosacījumus Eiropas Jūrlietu, zvejniecības un akvakultūras fonda (turpmāk – EJZAF) finansētajā darbības veidā "Sabiedrības virzītas vietējās attīstības stratēģiju īstenošana" (turpmāk – SVVA pasākums). Minētā mērķa sasniegšanai noteikumu projekts paredz precizēt atbalsta saņemšanas un projektu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SVVA pasākumā atbalstu saskaņā ar vietējās attīstības stratēģiju sniedz četrām darbībām: vietējās ekonomikas attīstības un transformācijas veicināšanai, vides resursu ilgtspējīgai izmantošanai, kā arī klimata pārmaiņu mazināšanai, zvejas vai jūras kultūras mantojuma izmantošanas veicināšanai un ostu infrastruktūras attīstības stiprināšanai.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līdzšinējo Ministru kabineta 2023. gada 10. oktobra noteikumu Nr. 579 "Valsts un Eiropas Savienības atbalsta piešķiršanas kārtība Eiropas Jūrlietu, zvejniecības un akvakultūras fonda pasākumam "Sabiedrības virzītas vietējās attīstības stratēģiju īstenošana"" (turpmāk – noteikumi) īstenošanas pieredzi, kā arī diskusijās ar vietējām rīcības grupām noskaidrotās praktiskās vajadzības, nepieciešams pilnveidot atbalsta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secināts, ka atbalsta pretendentiem ar ierobežotām finanšu iespējām ievērojamu problēmu rada nelielu būvdarbu projektu īstenošana, jo īpaši situācijās, kad projektu īstenošanā iespējams izmantot vietējās kopienas resursus, brīvprātīgo iesaisti un pašu ieguldījumu. Vienlaikus spēkā esošais regulējums nenodrošina pietiekami elastīgus nosacījumus, lai pilnvērtīgi izmantotu vietējo kopienu esošo kapacitāti, zināšanas un praktiskās prasmes vietējās infrastruktūras, publiskās ārtelpas un kopienas pasākuma vietu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jānosaka noteikumi nelielu būvdarbu īstenošanai, vienlaikus saglabājot atbalsta izlietojuma pārskatāmību, projekta rezultātu kvalitāti un atbilstību sabiedrības virzītas vietējās attīstības mērķiem. Šādi grozījumi sekmētu aktīvāku vietējo kopienu iesaisti, efektīvāku pieejamā finansējuma izmantošanu un ilgtspējīgu vietējās teritorijas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(19.</w:t>
      </w:r>
      <w:r w:rsidR="00000000" w:rsidRPr="00000000" w:rsidDel="00000000">
        <w:rPr>
          <w:vertAlign w:val="superscript"/>
          <w:rtl w:val="0"/>
        </w:rPr>
        <w:t xml:space="preserve">2</w:t>
      </w:r>
      <w:r w:rsidR="00000000" w:rsidRPr="00000000" w:rsidDel="00000000">
        <w:rPr>
          <w:rtl w:val="0"/>
        </w:rPr>
        <w:t xml:space="preserve">, 19.</w:t>
      </w:r>
      <w:r w:rsidR="00000000" w:rsidRPr="00000000" w:rsidDel="00000000">
        <w:rPr>
          <w:vertAlign w:val="superscript"/>
          <w:rtl w:val="0"/>
        </w:rPr>
        <w:t xml:space="preserve">3</w:t>
      </w:r>
      <w:r w:rsidR="00000000" w:rsidRPr="00000000" w:rsidDel="00000000">
        <w:rPr>
          <w:rtl w:val="0"/>
        </w:rPr>
        <w:t xml:space="preserve">, 61. punkts un 31.21. apakšpunkts), dodot iespēju nelielu būvniecības darbu projektu īstenošanā, kuriem nav nepieciešama būvniecības ieceres dokumentācija, kā projekta līdzfinansējumu piemērot ieguldījumu natūrā – brīvprātīgo darbu vai darbu bez atlīdzības. Ar grozījumiem noteikts, ka kopējais ieguldījums natūrā nepārsniedz 10 %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veicinās vienkāršu teritorijas labiekārtošanas projektu īstenošanu, kā arī sekmēs vietējo iedzīvotāju iesaisti projektu īstenošanā un kopienu līdzdalību vietējās attīstības procesos, tādējādi stiprinot sociālo kapitālu.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natūrā tiks uzskaitīti un novērtēti, ievērojot Finanšu ministrijas kā ES fondu vadošās iestādes metodikā "Par ieguldījumiem natūrā projektu līdzfinansēšanai 2021.–2027. gada plānošanas periodā" noteiktos principus.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Konstatēts, ka noteikumu 3.5. apakšpunktā ietverta atsauce uz regulu, kas ir zaudējusi spēku, tāpēc to nepieciešams aktualizēt atbilstoši spēkā esošajam Eiropas Savienības tiesiskajam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3.5. apakšpunkts, atsauci uz spēku zaudējušo Eiropas Parlamenta un Padomes 2018. gada 18. jūlija Regulu (ES, </w:t>
      </w:r>
      <w:r w:rsidR="00000000" w:rsidRPr="00000000" w:rsidDel="00000000">
        <w:rPr>
          <w:i w:val="1"/>
          <w:rtl w:val="0"/>
        </w:rPr>
        <w:t xml:space="preserve">Euratom</w:t>
      </w:r>
      <w:r w:rsidR="00000000" w:rsidRPr="00000000" w:rsidDel="00000000">
        <w:rPr>
          <w:rtl w:val="0"/>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000000" w:rsidRPr="00000000" w:rsidDel="00000000">
        <w:rPr>
          <w:i w:val="1"/>
          <w:rtl w:val="0"/>
        </w:rPr>
        <w:t xml:space="preserve">Euratom</w:t>
      </w:r>
      <w:r w:rsidR="00000000" w:rsidRPr="00000000" w:rsidDel="00000000">
        <w:rPr>
          <w:rtl w:val="0"/>
        </w:rPr>
        <w:t xml:space="preserve">) Nr. 966/2012, aizstājot ar atsauci uz spēkā esošo Eiropas Parlamenta un Padomes Regulu (ES, </w:t>
      </w:r>
      <w:r w:rsidR="00000000" w:rsidRPr="00000000" w:rsidDel="00000000">
        <w:rPr>
          <w:i w:val="1"/>
          <w:rtl w:val="0"/>
        </w:rPr>
        <w:t xml:space="preserve">Euratom</w:t>
      </w:r>
      <w:r w:rsidR="00000000" w:rsidRPr="00000000" w:rsidDel="00000000">
        <w:rPr>
          <w:rtl w:val="0"/>
        </w:rPr>
        <w:t xml:space="preserve">) 2024/2509 par finanšu noteikumiem, ko piemēro Savienības vispārējam budžetam.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sabiedrības virzītas vietējās attīstības pieejas piemērošanas nosacījumus un atbilstošo komercdarbības atbalsta regulējumu, secināts, ka konkrētajā darbības veidā prasība vērtēt grūtībās nonākuša saimnieciskās darbības veicēja pazīmes nav nepieciešama. Vienlaikus finanšu risku pārvaldība un pareizas finanšu pārvaldības principa ievērošana tiek nodrošināta, Lauku atbalsta dienestam izvērtējot projektus, tāpēc regulējums ir precizējams, atsakoties no prasības vērtēt grūtībās nonākuša saimnieciskās darbības veicēja pazīmes.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8.8. apakšpunkta norma, kas paredz vērtēt, vai atbalsta pretendentam ir grūtībās nonākuša saimnieciskās darbības veicēja pazīmes,jo intervencē šāda prasība nav noteikta kā obligāta atbilstoši komercdarbības atbalsta regulējumam, tomēr Lauku atbalsta dienests vērtē pareizas finanšu pārvaldības principa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noteikumu redakcija nepietiekami skaidri nosaka Komisijas 2022. gada 14. decembra Regulas (ES) 2022/2473, ar kuru, piemērojot Līguma par Eiropas Savienības darbību 107. un 108. pantu, dažu kategoriju atbalstu uzņēmumiem, kas nodarbojas ar zvejas un akvakultūras produktu ražošanu, apstrādi un tirdzniecību, atzīst par saderīgu ar iekšējo tirgu, (turpmāk – regula 2022/2473) prasību piemērošanu attiecībā uz atbalsta saņēmēja atbilstību mikrouzņēmuma, mazā vai vidējā uzņēmuma statusam (turpmāk – MVU). Saskaņā ar šīs regulas 55. pantu MVU statusa prasība ir attiecināma uz komercdarbības atbalsta saņēmējiem, taču nav piemērojama sabiedriskā labuma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risku un nodrošinātu nepārprotamu regulējuma piemērošanu projektu izvērtēšanā, ir jāprecizē noteikumu redakcija, skaidri nodalot uz komercdarbības atbalsta projektiem attiecināmās prasības no prasībām sabiedriskā labuma projektiem.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16.4. apakšpunkta redakcija, skaidri nosakot, ka regulas 2022/2473 prasības nav piemērojamas atbalsta saņēmējiem, kas īsteno sabiedriskā labuma projektus.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ierobežotas iespējas nodrošināt zvejniekiem darba drošībai un atpūtas režīmam atbilstošus apstākļus zvejas vietās. Piekrastes zvejniekiem zvejas vietās nav radīta darba drošībai un atpūtai piemērota infrastruktūra, arī ne tā saucamās tīklu mājas ar ģērbtuvēm, labierīcībām un iespējām atpūsties un ieturēt maltīti (atjaunot spēkus) starp zvejas reizēm.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piekrastes zvejniekiem arvien biežāk nākas doties zvejā attālāk no pastāvīgajām bāzes vietām, jo piekrastes zvejā palielinās roņu radītie postījumi un paplašinās zvejas darbības citās piekrastes teritorijās. Tas palielina pārvietošanās laiku un samazina iespējas nodrošināt pilnvērtīgu atpūtu starp zvejas reizēm.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zvejniecības nozares specifiku, kā arī darba aizsardzības un atpūtas laika prasības, zvejniekiem ir svarīgi nodrošināt minimālos apstākļus atpūtai, aizsardzībai pret laikapstākļiem, higiēnai un ēdienreižu ieturēšanai zvejas vietu tuvumā.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nepieciešami elastīgāki nosacījumi, kas ļautu piekrastes zvejniekiem rast darba drošības un atpūtas vajadzībām pielāgotus risinājumus, tādējādi uzlabojot darba apstākļus, sekmējot veselības aizsardzību un mazinot ar darba vidi saistīto risku piekrastes zvejniecībā.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24.11.2.</w:t>
      </w:r>
      <w:r w:rsidR="00000000" w:rsidRPr="00000000" w:rsidDel="00000000">
        <w:rPr>
          <w:vertAlign w:val="superscript"/>
          <w:rtl w:val="0"/>
        </w:rPr>
        <w:t xml:space="preserve">1</w:t>
      </w:r>
      <w:r w:rsidR="00000000" w:rsidRPr="00000000" w:rsidDel="00000000">
        <w:rPr>
          <w:rtl w:val="0"/>
        </w:rPr>
        <w:t xml:space="preserve"> apakšpunktu, nosakot, ka dzīvojamo autofurgonu un dzīvojamo piekabju (kempingpiekabju) iegādes izmaksas ir attiecināmas, ja pretendents ir zvejas kuģa īpašnieks vai piekrastes zvejnieku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projektu kārtām, kas ilgst ilgāk par 30 dienām, brīdī, kad iesniegto projektu īstenošanai pieteiktais publiskais finansējums sasniedz 80 procentu no konkrētajā kārtā pieejamā finansējuma, Lauku atbalsta dienesta un vietējās rīcības grupas tīmekļvietnē tiek publicēts paziņojums par to, ka projektu iesniegumu iesniegšana beigsies pēc 30 dienām, ja līdz izsludinātā iesniegumu iesniegšanas termiņa beigām atlicis vairāk nekā 30 dienu. Līdzšinējā pieredze liecina, ka ne vienmēr var nofiksēt 80 procentu sasniegšanu no konkrētajā kārtā pieejamā finansējuma. Ar pēdējo iesniegto projekta iesniegumu var tikt rezervēts publiskais finansējums 100 procentu apmērā, un tad projektu pieņemšanu nav iespējams pagarināt vēl uz 30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precizēta noteikumu 30. punktā noteiktā projektu pieņemšanas kārtas izsludināšanas kārtība, ja ir nepārtraukta projektu pieņemšanas kārta, kas ir ilgāka par 30 dienām, un ar pēdējo projekta iesniegumu tiek rezervēts publiskais finansējums 100 procentu apmērā. Tad projektu kārta tiek pabeigta un projektu pieņemšana neturpinās vēl 30 dienu. Lai atbalsta pretendenti būtu informēti par publiskā finansējuma atlikumu nepārtrauktās projektu kārtas laikā, noteikumu projekta 39.</w:t>
      </w:r>
      <w:r w:rsidR="00000000" w:rsidRPr="00000000" w:rsidDel="00000000">
        <w:rPr>
          <w:vertAlign w:val="superscript"/>
          <w:rtl w:val="0"/>
        </w:rPr>
        <w:t xml:space="preserve">1</w:t>
      </w:r>
      <w:r w:rsidR="00000000" w:rsidRPr="00000000" w:rsidDel="00000000">
        <w:rPr>
          <w:rtl w:val="0"/>
        </w:rPr>
        <w:t xml:space="preserve"> punktā tiek noteikts, ka vietējā rīcības grupa reizi mēnesī pēc iesniegto projektu izvērtēšanas savā tīmekļvietnē ievieto paziņojumu par konkrētajā kārtā pieejamo publisko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ka pašvaldības iepirkuma dokumentus, kas saistīti ar preču iegādi vai pakalpojumu, var iesniegt kopā ar projekta iesniegumu vai sešu mēnešu laikā pēc Lauku atbalsta dienesta lēmuma par projekta iesnieguma apstiprināšanu. Vienlaikus attiecībā uz šo noteikumu 8.</w:t>
      </w:r>
      <w:r w:rsidR="00000000" w:rsidRPr="00000000" w:rsidDel="00000000">
        <w:rPr>
          <w:vertAlign w:val="superscript"/>
          <w:rtl w:val="0"/>
        </w:rPr>
        <w:t xml:space="preserve">1</w:t>
      </w:r>
      <w:r w:rsidR="00000000" w:rsidRPr="00000000" w:rsidDel="00000000">
        <w:rPr>
          <w:rtl w:val="0"/>
        </w:rPr>
        <w:t xml:space="preserve"> punktā minētajiem budžeta projektiem ir būtiski nodrošināt, lai projekta izvērtēšanas brīdī jau būtu zināms plānoto izmaksu pamatojums un iepirkuma rezultāti.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tiek papildināti ar 36.</w:t>
      </w:r>
      <w:r w:rsidR="00000000" w:rsidRPr="00000000" w:rsidDel="00000000">
        <w:rPr>
          <w:vertAlign w:val="superscript"/>
          <w:rtl w:val="0"/>
        </w:rPr>
        <w:t xml:space="preserve">1</w:t>
      </w:r>
      <w:r w:rsidR="00000000" w:rsidRPr="00000000" w:rsidDel="00000000">
        <w:rPr>
          <w:rtl w:val="0"/>
        </w:rPr>
        <w:t xml:space="preserve"> punktu, nosakot, ka, ja atbalsta pretendents ir pašvaldība un tā īsteno šo noteikumu 8.</w:t>
      </w:r>
      <w:r w:rsidR="00000000" w:rsidRPr="00000000" w:rsidDel="00000000">
        <w:rPr>
          <w:vertAlign w:val="superscript"/>
          <w:rtl w:val="0"/>
        </w:rPr>
        <w:t xml:space="preserve">1</w:t>
      </w:r>
      <w:r w:rsidR="00000000" w:rsidRPr="00000000" w:rsidDel="00000000">
        <w:rPr>
          <w:rtl w:val="0"/>
        </w:rPr>
        <w:t xml:space="preserve"> punktā minēto budžeta projektu, iepirkuma dokumenti par preču iegādi vai pakalpojumu ir jāiesniedz kopā ar projekta iesniegumu. Tas nodrošinās, ka projekta izvērtēšanas laikā ir pieejama informācija par plānotajām izmaksām un iepirkuma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ka atbalsta saņēmējiem, kas neīsteno sabiedriskā labuma projektus, visā projekta uzraudzības periodā ik gadu jāiesniedz pārskats par saimnieciskās darbības rādītājiem un rezultātu rādītāju sasniegtajām vērtībām. Praksē konstatēts, ka šāda prasība rada papildu administratīvo slogu un nav nepieciešama visā projekta uzraudzības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Izdarīti grozījumi noteikumu 49. punktā, mainot informācijas iesniegšanas kārtību tiem atbalsta saņēmējiem, kas neīsteno sabiedriskā labuma projektus, atsakoties no pienākuma iesniegt pārskatu par saimnieciskās darbības rādītājiem un nosakot, ka informācija par rezultātu rādītāju sasniegtajām vērtībām iesniedzama tikai par pirmo un trešo pilno noslēgto gadu pēc projekta īstenošanas mēneša laikā pēc attiecīgā gada pārskata iesniegšanas Valsts ieņēmumu dienestā. Tādējādi tiek samazināts administratīvais slogs atbalsta saņēmējiem un vienkāršota projektu uzraudzības kārtība, vienlaikus saglabājot iespēju izvērtēt projektu rezultātu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SVVA pasākuma īstenošanas laikā ir konstatēta nepieciešamība pēc vairākiem tehniskiem un redakcionāliem grozījumiem, kas precizē atbalsta saņemšanas nosacījumus, attiecināmās un neattiecināmās izmaksas, iesniedzamos dokumentus un projekta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Izdarīti grozījumi noteikumu 8.7. apakšpunktā, palielinot projekta kopējo attiecināmo izmaksu slieksni no 50 000 līdz 70 000 </w:t>
      </w:r>
      <w:r w:rsidR="00000000" w:rsidRPr="00000000" w:rsidDel="00000000">
        <w:rPr>
          <w:i w:val="1"/>
          <w:rtl w:val="0"/>
        </w:rPr>
        <w:t xml:space="preserve">euro un</w:t>
      </w:r>
      <w:r w:rsidR="00000000" w:rsidRPr="00000000" w:rsidDel="00000000">
        <w:rPr>
          <w:rtl w:val="0"/>
        </w:rPr>
        <w:t xml:space="preserve"> tādējādi atvieglojot atbalsta saņemšanas nosacījumus mazāka apmēra projektiem, kuriem tiek piemērotas prasības par ekonomiskās dzīvotspējas rādītāju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atbalsta saņemšanas nosacījumi un precizētas būvniecības darbu attiecināmās un neattiecināmās izmaksas (noteikumu 8.6.1., 18.2., 18.3., 18.3.</w:t>
      </w:r>
      <w:r w:rsidR="00000000" w:rsidRPr="00000000" w:rsidDel="00000000">
        <w:rPr>
          <w:vertAlign w:val="superscript"/>
          <w:rtl w:val="0"/>
        </w:rPr>
        <w:t xml:space="preserve">1</w:t>
      </w:r>
      <w:r w:rsidR="00000000" w:rsidRPr="00000000" w:rsidDel="00000000">
        <w:rPr>
          <w:rtl w:val="0"/>
        </w:rPr>
        <w:t xml:space="preserve">, 22.1. apakšpunkts; svītrots 20. punkts), nosakot tās vispārīgāk, bet vienlaikus paredzot, ka pēc projekta īstenošanas būvniecības izmaksas iekļaujamas pamatlīdzekļa vērtībā (kapitalizējamas). Grozījumi izdarīti, lai neierobežotu atbalsta pretendentu, izvēloties projektā plānotajām darbībām atbilstošos būvniecības darbus, un to saskaņošanas procesu atbilstoši spēkā esošajam būvniecības regulējumam. Ievērojot minēto, grozījumi skar arī iesniedzamos dokumentus (31.3., 31.17. apakšpunkts un 36., 37.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prasība (31.14. apakšpunkts) atbalsta pretendentam projekta iesniegumam pievienot pašnovērtējumu par projekta atbilstību vietējās attīstības stratēģijā konkrētajai rīcībai noteiktajiem projektu vērtēšanas kritērijiem. Minēto dokumentu vietējā rīcības grupa var noteikt par iesniedzamo dokumentu, izsludinot projektu pieņemšanas kārtu, ja tas ir nepieciešams, lai atvieglotu projekta vērtēšanu, piemēram, pastāvot specifiskiem projektu vērtēšanas kritērijiem, atbalsta pretendents var precīzāk norādīt, kur projekta iesniegumā ir sniegta informācija konkrētā kritērija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vietējās rīcības grupas visus ar projektu vērtēšanu saistītos dokumentus Lauku atbalsta dienestam iesniedz Elektroniskajā pieteikšanās sistēmā elektroniski, ir noteikta prasība (40.</w:t>
      </w:r>
      <w:r w:rsidR="00000000" w:rsidRPr="00000000" w:rsidDel="00000000">
        <w:rPr>
          <w:vertAlign w:val="superscript"/>
          <w:rtl w:val="0"/>
        </w:rPr>
        <w:t xml:space="preserve">1</w:t>
      </w:r>
      <w:r w:rsidR="00000000" w:rsidRPr="00000000" w:rsidDel="00000000">
        <w:rPr>
          <w:rtl w:val="0"/>
        </w:rPr>
        <w:t xml:space="preserve"> punkts) visus dokumentus – projektu sarakstu, lēmumus, lēmējinstitūcijas sēdes protokolus, lēmējinstitūcijas pārstāvju un paraksttiesīgās personas interešu deklarācijas, projektu vērtētāju individuālo vērtējumu – sagatavot atbilstoši normatīvajiem aktiem par elektronisko dokumentu noformēšanu un parakstīt ar drošu elektronisko parakstu.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vienkāršo izmaksu specifiku, kad atbalsts tiek piešķirts par projektā sasniegto rezultātu vai starprezultātu, noteikumu 8.</w:t>
      </w:r>
      <w:r w:rsidR="00000000" w:rsidRPr="00000000" w:rsidDel="00000000">
        <w:rPr>
          <w:vertAlign w:val="superscript"/>
          <w:rtl w:val="0"/>
        </w:rPr>
        <w:t xml:space="preserve">1</w:t>
      </w:r>
      <w:r w:rsidR="00000000" w:rsidRPr="00000000" w:rsidDel="00000000">
        <w:rPr>
          <w:rtl w:val="0"/>
        </w:rPr>
        <w:t xml:space="preserve"> punktā minētajā gadījumā atbalsta pretendents projekta uzsākšanu apliecina ar informāciju par projektā īstenotām darbībām (57.</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precizēts projekta īstenošanas nosacījums, ka tad, ja projekta īstenošanai bija nepieciešama Valsts vides dienesta reģionālās vides pārvaldes atļauja saskaņā ar normatīvajiem aktiem par piesārņojošo darbību veikšanu, atbalsta saņēmējs pēdējo maksājumu saņem pēc atbilstošas A vai B kategorijas piesārņojošas darbības atļaujas vai C kategorijas piesārņojošas darbības apliecinājuma iegūšanas (59.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grozījumus, tika izvērtēta iespēja saglabāt esošo regulējumu, neparedzot, ka ieguldījums natūrā būtu attiecināms uz nelieliem būvniecības darbiem, tomēr, ievērojot līdzšinējo projektu īstenošanas pieredzi un vietējo rīcības grupu sniegto informāciju, secināts, ka esošie nosacījumi ierobežo tādu kopienas iniciatīvu īstenošanu, kurās būtiska nozīme ir vietējo iedzīvotāju brīvprātīgajam darbam un pašu iesaistei. Tādējādi tika atzīts, ka var ņemt vērā ieguldījumu natūrā, kas nepārsniedz 10 procentu no projekta kopējām attiecināmajām izmaksām, nosakot skaidrus nosacījumus un maksimālo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prasību un izmaksu samērīgums salīdzinājumā ar plānotajiem ieguvumiem. Noteiktais ierobežojums, ka ieguldījums natūrā nepārsniedz 10 procentu no projekta kopējām attiecināmajām izmaksām, nodrošina samērīgu pieeju starp elastīgāku projektu īstenošanu un finanšu kontroles prasībām. Šis grozījums nerada papildu izmaksas atbalsta pretendentiem vai iesaistītajām iestādēm, jo ieguldījumi natūrā tiks uzskaitīti un novērtēti, ievērojot Finanšu ministrijas kā ES fondu vadošās iestādes metodikā "Par ieguldījumiem natūrā projektu līdzfinansēšanai 2021.–2027. gada plānošanas periodā" noteiktos principus. Vienlaikus šī pieeja nodrošinās lielāku elastību neliela apjoma projektu īstenošanā un sekmēs vietējo kopienu iesaisti, tāpēc ieguvumi ir samērīgi ar piemērojamām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attiecas uz fiziskām personām, kas uzsāk vai plāno veikt saimniecisko darbību un pretendē uz atbalstu SVVA pasākumā. Noteikumu projekts atceļ prasību vērtēt, vai uz atbalsta pretendentu attiecas grūtībās nonākuša saimnieciskās darbības veicēja pazīmes, tādējādi mazinot ar atbalsta saņemšanu saistīto slogu. Grozījumi ir vērsti uz skaidrāku un efektīvāku regulējuma piemērošanu un nerada jaunus administratīvos pienākumus atbalsta pretendentiem.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rīcības grupas, t. i., biedrības un nodibinājumi, kam piešķirts atbalsts sabiedrības virzītas vietējās attīstības stratēģijas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attiecas uz atbalsta pretendentiem – komersantiem, zemnieku un zvejnieku saimniecībām, nevalstiskajām organizācijām, kā arī vietējām rīcības grupām kā sabiedrības virzītas vietējās attīstības stratēģiju īstenotājām.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atbalsta saņemšanas un projektu īstenošanas nosacījumus, nodrošinot to skaidrāku un efektīvāku piemērošanu. Atbalsta pretendentiem tiek precizētas atsevišķas atbalsta saņemšanas prasības, ekonomiskās dzīvotspējas izvērtēšanas nosacījumi, būvniecības un citu projektu īstenošanai nepieciešamo dokumentu iesniegšanas prasības, kā arī noteiktos gadījumos paredzēta iespēja projekta privāto līdzfinansējumu nodrošināt kā ieguldījumu natūrā brīvprātīgā darba vai darba bez atlīdzības veidā. Vienlaikus tiek vienkāršoti atsevišķi projektu īstenošanas nosacījumi, tostarp samazināts pārskatu iesniegšanas biežums un svītrotas atsevišķas iesniedzamo dokumentu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saņēmējiem, kas neīsteno sabiedriskā labuma projektus, tiek samazināts projektu uzraudzības laikā iesniedzamās informācijas apjoms un biežums. Turpmāk informācija par sasniegtajām rezultātu rādītāju vērtībām būs jāiesniedz par pirmo un trešo pilno noslēgto gadu pēc projekta īstenošanas, nevis katru projekta uzraudzības perioda gadu. Tādējādi šai mērķa grupai samazinās informācijas iesniegšanas  Lauku atbalsta dienestam apjoms un biežums.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iesniegšana SVVA pasākumā ir brīvprātīga un notiek pēc potenciālā atbalsta pretendenta iniciatīvas, tam izvērtējot nepieciešamību un iespējas pretendēt uz publisko finansējumu. Tiesiskais regulējums neuzliek personām pienākumu iesniegt projekta iesniegumu vai pretendēt uz atbalsta saņemšanu. Vienlaikus projekta iesnieguma sagatavošanas izmaksas arī turpmāk ir attiecināmās izmaksas saskaņā ar noteikumu 18.8. apakšpunktu, tādējādi atbalsta pretendentam ir iespēja saņemt publisko finansējumu arī ar projekta sagatavošanu saistīto izmaksu segšanai atbilstoši noteikumos paredzētajiem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Vietējām rīcības grupām tiek precizēta informācijas publicēšanas kārtība ilgstošajās projektu iesniegumu pieņemšanas kārtās, paredzot pēc projektu izvērtēšanas tīmekļvietnē publicēt aktuālo informāciju par konkrētajā kārtā pieejamo publisko finansējumu. Vietējās rīcības grupas informāciju par projektu iesniegumiem un tiem nepieciešamo finansējumu apkopo jau projektu vērtēšanas procesā, tādēļ jaunā prasība galvenokārt paredz šīs informācijas publiskošanu, nodrošinot potenciālajiem atbalsta pretendentiem aktuālu informāciju par finansējuma pieejamību. Tādējādi potenciālajiem atbalsta pretendentiem būs pieejama aktuālāka informācija par finansējuma atlikumu, kas ļaus savlaicīgi izvērtēt projekta iesniegšanas iespējas un lietderību, kā arī plānot projekta sagatavošanu un iesniegšanu. Vienlaikus tiek precizēta vietējo rīcības grupu projektu vērtēšanas dokumentu sagatavošanas un iesniegšanas kārtība, nosakot, ka Lauku atbalsta dienestam iesniedzamie dokumenti sagatavojami atbilstoši normatīvajiem aktiem par elektronisko dokumentu noformēšanu un parakstāmi ar drošu elektronisko parakstu. Šis precizējums nodrošina vienotu un nepārprotamu dokumentu noformēšanas kārtību, bet pēc būtības nemaina vietējo rīcības grupu veicamo projektu vērtēšanas darbību apjomu.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nozares konkurētspēju, jo vietējās attīstības stratēģijas ietver atbalstu vietējās ekonomikas attīstības un transformācijas veicināšanai, sekmējot uzņēmumu konkurētspēju, izaugsmi un jaunu darbavietu radīšanu.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uzņēmējdarbības vidi, jo grozījumi sekmēs atbalsta pretendentiem skaidrāku atbalsta saņemšanas nosacījumu izpratni un atvieglos atbalsta saņemšanu nelieliem projektiem, tā nodrošinot veicinošus apstākļus uzņēmējdarbības uzsākšanai vai attīstīšanai vietējo rīcības grupu darbības teritorijās.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maziem un vidējiem uzņēmējiem, jo grozījumi atvieglo atbalsta saņemšanas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zivsaimniecības attīstībai 2021–2027 (PZA 21–27) viens no paredzētajiem rezultātu rādītājiem ir jaunu darbavietu radīšana. To plānots sasniegt ar sabiedrības virzītas vietējās attīstības stratēģiju īstenošanu. Tādējādi atbalsta saņēmēji, radot jaunas darbavietas, veicinās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Ņemot vērā, ka potenciālie atbalsta saņēmēji darbojas dažādās tautsaimniecības nozarēs, tostarp zvejniecībā, ražošanā, pārstrādē un pakalpojumu jomā, un nav iespējams noteikt vienu dominējošo saimnieciskās darbības veidu, administratīvo izmaksu aprēķinam izmantota Centrālās statistikas pārvaldes publicētā 2025. gada vidējā vienas stundas darbaspēka izmaksu likme ekonomikā kopumā (NACE A–S) – 15,45 euro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Pamatojoties uz Lauku atbalsta dienesta sniegto informāciju  par darbībām, kas veicamas Elektroniskajā pieteikšanās sistēmā, iesniedzot informāciju par projekta īstenošanas rezultātiem, pieņemts, ka informācijas sagatavošanai un iesniegšanai Lauku atbalsta dienesta Elektroniskajā pieteikšanās sistēmā vienam atbalsta saņēmējam nepieciešamas vidēji 15 minūtes jeb 0,25 stundas. Pārskatā tiek norādīta tikai projekta īstenošanas rezultātā sasniegtā rezultātu rādītāja vērtība. Laika patēriņā ietverta pieslēgšanās Elektroniskajai pieteikšanās sistēmai, attiecīgās informācijas ievadīšana, pārbaude un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Izvērtējot šajā plānošanas periodā līdz šim iesniegto un atbalstīto projektu skaitu, provizoriski paredzams, ka informācijas sniegšanas pienākums attieksies uz 25 atbalsta saņēmējiem.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 par projekta īstenošanas rezultātā sasniegto rezultātu rādītāja vērtību būs jāiesniedz par pirmo un trešo pilno noslēgto gadu pēc projekta īstenošanas. Tādējādi piecu gadu uzraudzības periodā katram atbalsta saņēmējam informācija būs jāsniedz divas reizes, kas vidēji atbilst 0,4 informācijas sniegšanas reizēm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veidojas tad, ja atbalsta pretendents izvēlas iesniegt projekta iesniegumu.
Projektu iesniegšana SVVA pasākumā ir brīvprātīga un notiek pēc potenciālā atbalsta pretendenta iniciatīvas, tam izvērtējot nepieciešamību un iespējas pretendēt uz publisko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vietējās rīcības grupas, t. i., biedrības un nodibinājumi, kam piešķirts atbalsts sabiedrības virzītas vietējās attīstības stratēģijas īstenošanai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Administratīvo pienākumu izpilda vietējās rīcības grupas – biedrības un nodibinājumi. Administratīvo izmaksu aprēķinam izmantota Centrālās statistikas pārvaldes publicētā 2025. gada vienas stundas darbaspēka izmaksu likme NACE S94 "Sabiedrisko, politisko un citu organizāciju darbība" – 16,04 euro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paziņojuma sagatavošana un ievietošana tīmekļvietnē aizņem 15 minūtes jeb 0,25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Ņemot vērā iepriekšējo plānošanas periodu pieredzi, provizoriski tiek pieņemts, ka nepārtrauktā projektu iesniegumu pieņemšanas kārta būs ne vairāk kā divām vietējām rīcības grupām.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Ņemot vērā iepriekšējo plānošanas periodu pieredzi, provizoriski tiek pieņemts, ka nepārtrauktā projektu iesniegumu pieņemšanas kārta būs ne vairāk kā divām vietējām rīcības grupām. Attiecīgi katrai no šīm vietējām rīcības grupām informācija par pieejamo publisko finansējumu laikposmā no 2026. gada oktobra līdz 2027. gada jūnijam būtu publicējama reizi mēnesī, kopā deviņas 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veido vietējām rīcības grupām noteiktais pienākums ilgstošajās projektu iesniegumu pieņemšanas kārtās pēc projektu izvērtēšanas publicēt savā tīmekļvietnē aktuālo informāciju par konkrētajā kārtā pieejamo publisko finansējumu.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tiks nodrošināta no Programmas zivsaimniecības attīstībai 2021.–2027. gadam pasākumam "Sabiedrības virzītas vietējās attīstības stratēģiju īstenošana" apstiprinātā finansējuma. Pasākumam apstiprinātais publiskais finansējums ir 40 000 000 </w:t>
      </w:r>
      <w:r w:rsidR="00000000" w:rsidRPr="00000000" w:rsidDel="00000000">
        <w:rPr>
          <w:i w:val="1"/>
          <w:rtl w:val="0"/>
        </w:rPr>
        <w:t xml:space="preserve">euro</w:t>
      </w:r>
      <w:r w:rsidR="00000000" w:rsidRPr="00000000" w:rsidDel="00000000">
        <w:rPr>
          <w:rtl w:val="0"/>
        </w:rPr>
        <w:t xml:space="preserve">, no kuriem Eiropas Savienības līdzfinansējums ir 28 000 000 </w:t>
      </w:r>
      <w:r w:rsidR="00000000" w:rsidRPr="00000000" w:rsidDel="00000000">
        <w:rPr>
          <w:i w:val="1"/>
          <w:rtl w:val="0"/>
        </w:rPr>
        <w:t xml:space="preserve">euro</w:t>
      </w:r>
      <w:r w:rsidR="00000000" w:rsidRPr="00000000" w:rsidDel="00000000">
        <w:rPr>
          <w:rtl w:val="0"/>
        </w:rPr>
        <w:t xml:space="preserve"> (70 %), bet valsts budžeta līdzfinansējums – 12 000 000 </w:t>
      </w:r>
      <w:r w:rsidR="00000000" w:rsidRPr="00000000" w:rsidDel="00000000">
        <w:rPr>
          <w:i w:val="1"/>
          <w:rtl w:val="0"/>
        </w:rPr>
        <w:t xml:space="preserve">euro</w:t>
      </w:r>
      <w:r w:rsidR="00000000" w:rsidRPr="00000000" w:rsidDel="00000000">
        <w:rPr>
          <w:rtl w:val="0"/>
        </w:rPr>
        <w:t xml:space="preserve"> (30 %). Pasākumam apstiprinātais publiskais finansējums nav mainīts saskaņā ar sākotnēji paredzēto.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 (pārstrādātā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(pārstrādātā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2024/2509 61.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67.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67. panta 1. punktā dotā rīcības brīvība izmantota, paredzot ieguldījumus natūrā. Konkrētā rīcības brīvība izmantota, lai atvieglotu ar nelieliem būvdarbiem saistītu projektu īstenošanu atbalsta pretendentiem, kam ir ierobežotas finanšu iespējas, aktivitātē "Kopienu spēcinošas un vietas attīstību sekmējošas iniciatīvas".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https://tapportals.mk.gov.lv/public_participation/93dc4460-1c67-4d8f-8a13-593ea2bccda7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informētu sabiedrību par noteikumu projektu un dotu iespēju izteikt viedokli, noteikumu projekts un tā anotācija no 2026. gada 6. līdz 20. jūlijam bija pieejami sabiedriskajai apspriešanai Vienotajā tiesību aktu projektu izstrādes un saskaņošanas portālā. Par publiskajā apspriešanā nodoto noteikumu projektu nav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dienesta uzdevumi tiek paplašināti, paredzot, ka nelielos būvniecības projektos uzskaitāmi un novērtējami ieguldījumi natūrā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uzskaitīti un novērtēti, ievērojot Finanšu ministrijas kā ES fondu vadošās iestādes metodikā "Par ieguldījumiem natūrā projektu līdzfinansēšanai 2021.–2027. gada plānošanas periodā" noteiktos principus.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tiks nodrošināta no Programmas zivsaimniecības attīstībai 2021.–2027. gadam pasākumam "Sabiedrības virzītas vietējās attīstības stratēģiju īstenošana" apstiprinātā finansējuma. Pasākumam apstiprinātais publiskais finansējums ir 40 000 000 </w:t>
      </w:r>
      <w:r w:rsidR="00000000" w:rsidRPr="00000000" w:rsidDel="00000000">
        <w:rPr>
          <w:i w:val="1"/>
          <w:rtl w:val="0"/>
        </w:rPr>
        <w:t xml:space="preserve">euro</w:t>
      </w:r>
      <w:r w:rsidR="00000000" w:rsidRPr="00000000" w:rsidDel="00000000">
        <w:rPr>
          <w:rtl w:val="0"/>
        </w:rPr>
        <w:t xml:space="preserve">, no kuriem Eiropas Savienības līdzfinansējums ir 28 000 000 </w:t>
      </w:r>
      <w:r w:rsidR="00000000" w:rsidRPr="00000000" w:rsidDel="00000000">
        <w:rPr>
          <w:i w:val="1"/>
          <w:rtl w:val="0"/>
        </w:rPr>
        <w:t xml:space="preserve">euro</w:t>
      </w:r>
      <w:r w:rsidR="00000000" w:rsidRPr="00000000" w:rsidDel="00000000">
        <w:rPr>
          <w:rtl w:val="0"/>
        </w:rPr>
        <w:t xml:space="preserve"> (70 %), bet valsts budžeta līdzfinansējums – 12 000 000 </w:t>
      </w:r>
      <w:r w:rsidR="00000000" w:rsidRPr="00000000" w:rsidDel="00000000">
        <w:rPr>
          <w:i w:val="1"/>
          <w:rtl w:val="0"/>
        </w:rPr>
        <w:t xml:space="preserve">euro</w:t>
      </w:r>
      <w:r w:rsidR="00000000" w:rsidRPr="00000000" w:rsidDel="00000000">
        <w:rPr>
          <w:rtl w:val="0"/>
        </w:rPr>
        <w:t xml:space="preserve"> (30 %). Pasākumam apstiprinātais publiskais finansējums nav mainīts saskaņā ar sākotnēji paredzēto.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Vietējo rīcības grupu sagatavoto sabiedrības virzītas vietējās attīstības stratēģiju īstenošana sekmēs vietējās piekrastes teritorijas.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Vietējo rīcības grupu sagatavoto sabiedrības virzītas vietējās attīstības stratēģiju īstenošana sekmēs vietējās teritorijas attīstību, tostarp sociālekonomiskās situācijas uzlabošanos.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26-TA-801</w:t>
    </w:r>
    <w:r>
      <w:br/>
    </w:r>
    <w:r w:rsidR="00000000" w:rsidRPr="00000000" w:rsidDel="00000000">
      <w:rPr>
        <w:rtl w:val="0"/>
      </w:rPr>
      <w:t xml:space="preserve">Izdrukāts 02.09.2026. 12.47 - 5.0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26-TA-801</w:t>
    </w:r>
    <w:r>
      <w:br/>
    </w:r>
    <w:r w:rsidR="00000000" w:rsidRPr="00000000" w:rsidDel="00000000">
      <w:rPr>
        <w:rtl w:val="0"/>
      </w:rPr>
      <w:t xml:space="preserve">Izdrukāts 02.09.2026. 12.47 - 5.0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anotācija_(ex_ante)_26-TA-801.docx</dc:title>
</cp:coreProperties>
</file>

<file path=docProps/custom.xml><?xml version="1.0" encoding="utf-8"?>
<Properties xmlns="http://schemas.openxmlformats.org/officeDocument/2006/custom-properties" xmlns:vt="http://schemas.openxmlformats.org/officeDocument/2006/docPropsVTypes"/>
</file>