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ilgtspējīgus ieguldījumus atkritumu apsaimniekošanas reģionos (turpmāk - AAR) Latvijā, Viedās administrācijas un reģionālās attīstības ministrija (turpmāk - VARAM) ir izstrādājusi Ministru kabineta (turpmāk - MK) noteikumus par Eiropas Savienības kohēzijas politikas programmas 2021. – 2027. gadam specifiskā atbalsta mērķa 2.2.2.  “Pārejas uz aprites ekonomikas veicināšana” (turpmāk – SAM 2.2.2.) 2.2.2.1. pasākuma “Atkritumu šķirošana, pārstrāde un reģenerācija” (turpmāk - Pasākums) otrās un trešās projektu iesniegumu atlases kārtas īstenošanas nosacījumiem (turpmāk - MK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noteikt Pasākuma otrās un trešās projektu iesniegumu atlases kārtas īstenošanas nosacījumus, lai varētu tikt atbalstīta atkritumu apsaimniekošanas infrastruktūra AAR, kas tādējādi veicina pāreju uz aprites ekonomiku jeb tādu ražošanas un patēriņa modeli, kas paredz esošo materiālu un produktu koplietošanu, iznomāšanu, atkārtotu izmantošanu, remontu, atjaunošanu un pārstrādi pēc iespējas ilgākā laika periodā, pagarinot produktu aprites ciklu un līdz minimumam samazinot atkritumu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Pārvaldības modeļa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 - 2028. gadam un MK 2023. gada 16. jūnija noteikumi Nr. 301 "Noteikumi par atkritumu apsaimniekošanas reģioniem" (turpmāk - MK noteikumi Nr. 301) nosaka, ka Latvijā ir pieci AAR - Dienvidkurzemes, Latgales, Viduslatvijas, Vidzemes un Ziemeļkurzemes, kas aptver visu Latviju. AAR ir valsts administratīvās teritorijas daļa, kurā radīto atkritumu apsaimniekošana notiek atbilstoši atkritumu apsaimniekošanas normatīvajiem aktiem, atkritumu apsaimniekošanas valsts plānam un atkritumu apsaimniekošanas reģionālajam plānam (turpmāk - reģionālais plāns) un kurā radītie sadzīves atkritumi, kas netiek sagatavoti atkārtotai izmantošanai, pārstrādāti vai izmantoti materiālu reģenerācijai, tiek apglabāti AAR sadzīves atkritumu apglabāšanas poligonā (turpmāk - SAAP).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AAR izveides mērķis ir nodrošināt ekonomiski pamatotu atkritumu apsaimniekošanu, kas ietver samērīgu atkritumu apsaimniekošanas infrastruktūras un reģionā radīto atkritumu apsaimniekošanas balansu, saprātīgus atkritumu pārvadājumu attālumus no atkritumu rašanās vietām līdz SAAP u.c. faktorus. Līdz 2023. gada 16. jūnijam, kad stājās spēkā MK noteikumi Nr. 301, Latvijā bija 10 AAR ar neviendabīgu apsaimniekoto atkritumu daudzumu, iedzīvotāju skaitu, infrastruktūras pārklājumu, atkritumu apglabāšanas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Pārejā uz pieciem AAR un sektora noteikto mērķu sasniegšanai nozīmīgi principi bija atkritumu apsaimniekošanas sistēmas centralizācija, kā arī noteiktu atkritumu plūsmu un apsaimniekošanas darbību specializācija. To ietekmēja gan atkritumu plūsmu pārvadājumi, infrastruktūras kapacitāte, reģionu sociālekonomiskais stāvoklis. Pāreja uz pieciem AAR ļauj plānot ieguldījumus atkritumu apsaimniekošanas tehnoloģijās lielākā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sniegts SAAP izvietojums katrā no AAR:</w:t>
      </w:r>
    </w:p>
    <w:tbl>
      <w:tblPr>
        <w:tblStyle w:val="DefaultTable"/>
        <w:bidiVisual w:val="0"/>
        <w:tblW w:w="564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32"/>
        <w:gridCol w:w="3107"/>
        <w:tblGridChange w:id="0">
          <w:tblGrid>
            <w:gridCol w:w="2232"/>
            <w:gridCol w:w="31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AAR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SAAP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Ķīvītes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Dziļā vāda, Križevņiki, Ciniši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Viduslatvijas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Getliņi, Brakšķi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Daibe, Kaudzītes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Ziemeļkurzemes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Janvāri, Pentuļi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10. pants nosaka, ka AAR ietilpstošās pašvaldības izstrādā reģionālo plānu. Tas stājas spēkā pēc tam, kad to apstiprinājušas visas AAR ietilpstošās pašvaldības. Līdz 2024. gada 1. jūnijam ir izstrādāti  visu AAR reģionālie plāni, bet spēkā stājušies tie ir tikai attiecībā uz Vidzemes, Dienvidkurzemes un Ziemeļkurzemes AAR. MK 2021. gada 22. jūnija noteikumi Nr.397 "Noteikumi par atkritumu apsaimniekošanas valsts un reģionālajiem plāniem un atkritumu rašanās novēršanas valsts programmu" nosaka prasības reģionālajos plānos iekļaujamajai informācijai - tajos cita starpā jāsniedz izvērtējums par atkritumu apsaimniekošanas sistēmas attīstību, kā arī papildus nepieciešamo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Atkritumu apsaimniekošanas likumā, kas stājās spēkā 2023. gada 11. aprīlī, tika noteikta prasība pašvaldībām līdz 2024. gada 30. jūnijam izveidot atkritumu apsaimniekošanas reģionālos centrus (turpmāk - AARC). AARC veic šādus AAR pašvaldību deleģētos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reģionālā plāna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veicina iedzīvotāju aktīvu iesaisti atkritumu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apkopo un sniedz informāciju par sadzīves atkritumu apsaimniekošanu attiecīgajā AAR.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AARC izveides pamatā ir SAAP, izmantojot pieejamo atkritumu apsaimniekošanas infrastruktūru un veicinot sadarbību starp reģiona komersantiem un pašvaldībām aprites ekonomikas ieviešanai. Pašvaldības var lemt par pārvaldības modeli, piemēram, AAR ar diviem SAAP veidojot tikai vienu AARC (Vidzemes AAR) vai veidojot divus vai pat trīs AARC (potenciāli Latgales AAR).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Ieguldījumu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Agrīnās brīdināšanas ziņojumā par Latviju, ko Eiropas Komisija (turpmāk - EK) publicējusi 2023.gada 8.jūnijā (https://eur-lex.europa.eu/legal-content/LV/TXT/?uri=SWD%3A2023%3A187%3AFIN#), norādīts, ka Latvijai ir risks nesasniegt 2025. gada mērķrādītāju 55 % attiecībā uz sadzīves atkritumu sagatavošanu atkalizmantošanai un pārstrādei, kā arī bažas rada joprojām pārmērīgi lielais apglabāto atkritumu daudzums, kas apdraud 2035. gadam noteikto mērķrādītāju, kas paredz, ka tiek apglabāti ne vairāk kā 10 % valstī radītie sadzīves atkritumi. Eiropas Komisija kā vienu no zemajiem atkritumu pārstrādes rādītāju iemesliem Latvijā min nepietiekami viegli pieejamu atkritumu dalītās vākšanas pakalpojuma pārklājumu valstī. Starp galvenajiem ieteikumiem ir sadzīves atkritumu sagatavošana atkārtotai izmantošanai, snieguma uzlabošana atkritumu dalītās vākšanas jomā un prioritātes noteikšana projektiem, kas atrodas augstāk atkritumu hierarhijā. Šo hierarhiju prioritārā kārtībā izmanto atkritumu rašanās novēršanas un apsaimniekošanas tiesību aktos un politikā, lai līdz minimumam samazinātu atkritumu rašanās un apsaimniekošanas nelabvēlīgo ietekmi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uzlabotu resursu efektivitāti. Hierarhija parasti tiek attēlota apgrieztas piramīdas veidā ar visvēlamākajiem variantiem augšpusē un apglabāšanu kā pēdējo risinājumu atkritumu apsaimniekošanā – apakšā. Darbības virzienā no visvēlamākās ir šādas: novēršana, sagatavošana atkārtotai izmantošanai, pārstrāde, cita veida pārstrāde (piemēram, enerģijas reģenerācija), apglabāšana. Atkritumu dalītā vākšana un šķirošana atrodas starpposmā starp sagatavošanu atkārtotai izmantošana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izstrādātais </w:t>
      </w:r>
      <w:r w:rsidR="00000000" w:rsidRPr="00000000" w:rsidDel="00000000">
        <w:rPr>
          <w:i w:val="1"/>
          <w:rtl w:val="0"/>
        </w:rPr>
        <w:t xml:space="preserve">Eiropas Vides politikas īstenošanas 2022. gada pārskats. Ziņojums par LATVIJU</w:t>
      </w:r>
      <w:r w:rsidR="00000000" w:rsidRPr="00000000" w:rsidDel="00000000">
        <w:rPr>
          <w:rtl w:val="0"/>
        </w:rPr>
        <w:t xml:space="preserve"> nosaka uzlabot un paplašināt atkritumu dalītu vākšanu un pārstrādi, ieviešot atbalsta programmas pašvaldībām. Atkritumu apsaimniekošanas plāni ir būtiski Eiropas Savienības atkritumu jomas tiesību aktu pareizai īstenošanai. Kā norāda EK, lai atkritumus būtu iespējams pārvērst resursos: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jāīsteno Eiropas Savienības tiesību akti atkritumu jomā, un tas ietver atkritumu apsaimniekošanas hierarhiju, nepieciešamību nodrošināt atkritumu dalītu savākšanu, noteikt mērķrādītājus attiecībā uz atkritumu novirzīšanu no SAAP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pakāpeniski jāpārtrauc tādu materiālu apglabāšana poligonos, kuri ir pārstrādājami vai no kuriem var atgūt 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veikto AAR reformu, pārejot uz centralizētāku atkritumu apsaimniekošanas sistēmu, kā arī ņemot vērā EK norādījumus agrīnās brīdināšanas ziņojumā un vides politikas īstenošanas pārskatā, ir izstrādāta investīciju ieguldījumu programma, kas sniedz ieguldījumus EK noteikto atkritumu apsaimniekošanas mērķu sasniegšanā. Ieguldījumu fokusu iedala divās daļās - 1) darbības, kas var tikt veiktas brīvā tirgus (konkurences) apstākļos un 2) sabiedriskā pakalpojuma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 – 2027. gadam paredz finansējumu SAM 2.2.2. īstenošanai, tomēr nav izstrādāti investīciju piešķiršanas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MK noteikumu projekts, paredzot Pasākuma īstenošanas noteikumus, ieguldījumu mērķi, pieejamo finansējumu, prasības projekta iesniedzējam un finansējuma saņēmējam, atbalstāmo darbību un izmaksu attiecināmības, kā arī komercdarbības atbalsta piešķiršanas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dalījums, atbalsta likmes, attiecināmība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fonda finansējums, kas pieejams infrastruktūras attīstīšanai AAR, ir 45 030 000 </w:t>
      </w:r>
      <w:r w:rsidR="00000000" w:rsidRPr="00000000" w:rsidDel="00000000">
        <w:rPr>
          <w:i w:val="1"/>
          <w:rtl w:val="0"/>
        </w:rPr>
        <w:t xml:space="preserve">euro</w:t>
      </w:r>
      <w:r w:rsidR="00000000" w:rsidRPr="00000000" w:rsidDel="00000000">
        <w:rPr>
          <w:rtl w:val="0"/>
        </w:rPr>
        <w:t xml:space="preserve">. Katram AAR pieejamais kopējais Kohēzijas fonda finansējums, otrajā un trešajā atlases kārtā summējot, ir 9 006 000 </w:t>
      </w:r>
      <w:r w:rsidR="00000000" w:rsidRPr="00000000" w:rsidDel="00000000">
        <w:rPr>
          <w:i w:val="1"/>
          <w:rtl w:val="0"/>
        </w:rPr>
        <w:t xml:space="preserve">euro</w:t>
      </w:r>
      <w:r w:rsidR="00000000" w:rsidRPr="00000000" w:rsidDel="00000000">
        <w:rPr>
          <w:rtl w:val="0"/>
        </w:rPr>
        <w:t xml:space="preserve">. Tas tiek dalīts divu projektu iesniegumu atlases kārtu (turpmāk - atlases kārtas) īstenošanai (otrā atlases kārta - atklāts konkurss, trešā atlases kārta - ierobežota atlase), kur katrai atlases kārtai pieejamo finansējumu nosaka katra AAR AARC, ņemot vērā reģionālajā plānā noteiktās prioritātes. Šāda pieeja noteikta, jo saskaņā ar Atkritumu apsaimniekošanas likumā noteikto tieši AARC tiek deleģēts pārvaldes uzdevums nodrošināt reģionālā plāna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[Informācija šajā rindkopā norādīta atbilstoši šī brīža situācijai]</w:t>
      </w:r>
      <w:r w:rsidR="00000000" w:rsidRPr="00000000" w:rsidDel="00000000">
        <w:rPr>
          <w:rtl w:val="0"/>
        </w:rPr>
        <w:t xml:space="preserve"> </w:t>
      </w:r>
      <w:r w:rsidR="00000000" w:rsidRPr="00000000" w:rsidDel="00000000">
        <w:rPr>
          <w:i w:val="1"/>
          <w:rtl w:val="0"/>
        </w:rPr>
        <w:t xml:space="preserve">VARAM kā atbildīgā iestāde pieprasīs AARC noteikt finansējuma dalījumu pa kārtām. Tā kā vienā AAR var būt vairāki AARC, viedoklis par finansējuma dalījumu jāsniedz saskaņots no visiem AARC, kas ietilpst vienā AAR. Tā kā pastāv iespēja, ka MK noteikumu projekta izstrādes laikā vēl nebūs pieņemti lēmumi par visu AARC izveidi, dalījums AAR pagaidām nav noteikts. Sākotnēji piedāvātais variants iršāds: otrajā atlases kārtā - 4 000 000 euro, trešajā atlases kārtā - 5 006 000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nav paredzēts elastības finansējums, tas pilnībā pārcelts uz 2.2.2.3. pasākuma "Notekūdeņu dūņu pārstrāde"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tiek organizēts trīs atlases kārtu veidā, kur pirmā atlases kārta izsludināta 2024. gada 2. maijā (projektu iesniegumu iesniegšanas termiņš 2024. gada 2. septembris). Pirmajā atlases kārtā pieejams Kohēzijas fonda finansējums 20 000 000 </w:t>
      </w:r>
      <w:r w:rsidR="00000000" w:rsidRPr="00000000" w:rsidDel="00000000">
        <w:rPr>
          <w:i w:val="1"/>
          <w:rtl w:val="0"/>
        </w:rPr>
        <w:t xml:space="preserve">euro</w:t>
      </w:r>
      <w:r w:rsidR="00000000" w:rsidRPr="00000000" w:rsidDel="00000000">
        <w:rPr>
          <w:rtl w:val="0"/>
        </w:rPr>
        <w:t xml:space="preserve">, piešķirot finansējumu atklātas atlases veidā atkritumu apsaimniekošanas komersantiem atkritumu pārstrādes iekārtu izveidei, neierobežojot to pieteikto projektu ideju īstenošanas teritoriju uz konkrētu AAR.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kārtu īstenošanai plānotais kopējais finansējums otrajā atlases kārtā noteikts, aprēķinos ņemot vērā augšējo atbalsta likmes robežu 75%, savukārt trešajā atlases kārtā - 85%. Otrajā atlases kārtā finansējums tiks piešķirts, ievērojot Eiropas Komisijas 2014. gada 17. jūnija Regulas (ES) Nr. 651/2014, ar ko noteiktas atbalsta kategorijas atzīst par saderīgām ar iekšējo tirgu, piemērojot Līguma 107. un 108. pantu (turpmāk - Regula Nr. 651/2014) nosacījumus. Saskaņā ar tiem maksimālā iespējamā atbalsta intensitāte attiecināmajām izmaksām ir 75% (ja vien projekta iesniedzējs ir mazais komersants). Trešajā atlases kārtā atbalsta likme ir 85%, jo finansējums tiks piešķirts, pamatojoties uz Eiropas Komisijas 2011. gada 20. decembra lēmumu Nr.2012/21/ES par Līguma par Eiropas Savienības darbību 106. panta 2. punkta piemērošanu valsts atbalstam attiecībā uz kompensāciju par sabiedriskajiem pakalpojumiem dažiem uzņēmumiem, kuriem uzticēts sniegt pakalpojumus ar vispārēju tautsaimniecisko nozīmi (turpmāk - EK lēmums Nr.2021/21/ES). Noteikts arī vispārīgs ierobežojums nepārsniegt 85% atbalsta likmi, jo </w:t>
      </w:r>
      <w:r w:rsidR="00000000" w:rsidRPr="00000000" w:rsidDel="00000000">
        <w:rPr>
          <w:i w:val="1"/>
          <w:rtl w:val="0"/>
        </w:rPr>
        <w:t xml:space="preserve">de minimis</w:t>
      </w:r>
      <w:r w:rsidR="00000000" w:rsidRPr="00000000" w:rsidDel="00000000">
        <w:rPr>
          <w:rtl w:val="0"/>
        </w:rPr>
        <w:t xml:space="preserve"> piemērošana var radīt situāciju, kad summā Kohēzijas fonda finansējums pārsniedz 75% atbalsta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attiecināmība pa atlases kārtām atšķiras - otrajā atlases kārtā izmaksas ir attiecināmas no projekta iesnieguma iesniegšanas dienas sadarbības iestādē, savukārt trešajā atlases kārtā - no 2023. gada 1. janvāra. Otrajā atlases kārtā termiņš noteikts, lai nepārkāptu stimulējošas ietekmes prasības, kas izriet no piemērojamā komercdarbības regulējuma. Šis nosacījums neattiecas uz būvprojekta izstrādi, kas otrajā atlases kārtā var tikt uzsākts no 2023. gada 1. janvāra, jo šī izmaksu pozīcija tiek segta, piemērojot </w:t>
      </w:r>
      <w:r w:rsidR="00000000" w:rsidRPr="00000000" w:rsidDel="00000000">
        <w:rPr>
          <w:i w:val="1"/>
          <w:rtl w:val="0"/>
        </w:rPr>
        <w:t xml:space="preserve">de minimis</w:t>
      </w:r>
      <w:r w:rsidR="00000000" w:rsidRPr="00000000" w:rsidDel="00000000">
        <w:rPr>
          <w:rtl w:val="0"/>
        </w:rPr>
        <w:t xml:space="preserve"> regulējumu. Kaut arī trešajā atlases kārtā projektā paredzētās darbības var jau būt uzsāktas, tās nedrīkst būt pabeigtas pirms projekta iesnieguma iesniegšanas dienas sadarbības iestādē. Finanšu plūsmu pirms projekta iesnieguma iesniegšanas sadarbības iestādē nodrošina projekta iesniedzējs. Neievērojot iepriekš minētos nosacījumus, projekta iesniegums netiek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Projektus īsteno līdz 2029. gada 31. decembrim, ievērojot, ka daļa no darbībām paredz būvdarbus, kā arī individuāli pielāgojumu iekārtu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atlases kārta noteikta kā atklāts konkurss, savukārt trešā atlases kārta - ierobežota atlase. Šāds mehānisms izveidots, jo reģionālajos plānos noteiktās prioritārās darbības skar ne tikai SAAP kā sabiedriskā pakalpojuma sniedzējus, kur ir pamatoti noteikt ierobežotu atlasi, bet arī citus komersantus, kas attiecīgajā AAR sniedz atkritumu apsaimniekošanas pakalpojumus, piemēram, nodrošina atkritumu dalīto vākšanu, organizē atkritumu atkārtotu izmantošanu, veic atkritumu pārstrādi u.c. Šos pakalpojumus uzņēmumi sniedz tirgus apstākļos konkurējot, tādējādi nodrošinot vienlīdzīgas iespējas pretendēt uz atbalstu visiem projektu iesniedzējiem. Tā kā nešķirotu sadzīves atkritumu apsaimniekošana Atkritumu apsaimniekošanas likumā noteikts kā regulējams sabiedriskais pakalpojums un starp attiecīgajiem komersantiem nepastāv konkurence, trešā atlases kārta noteikta kā ierobežota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atlase tiek rīkota katrā AAR pieejamā finansējuma apmērā un atbilstoši dalījumam, ko noteikuši katrā AAR AARC. Atbildīgā iestāde pieprasa AARC sniegt informāciju divos gadījumos: 1) lai noteiktu finansējuma dalījumu par kārtām un 2) noteiktu projektu, kam piešķirams finansējums, kas veidojies kā Kohēzijas fonda finansējuma atlikums pēc otrās un trešās kārtas rīkošanas. Ja pēc otrās un trešās atlases kārtas rīkošanas ir izveidojies Kohēzijas fonda finansējuma atlikums, tas tiek novirzīts jauna projekta vai esoša projekta papildu darbību atbalstīšanai, kurā ir vislielākais apsaimniekoto atkritumu daudzums. Tādējādi tas ļauj aptvert iespējami lielāko atkritumu plūsmu un koncentrēt resursus projektam, kas nodrošina apritīgumu pēc atkritumu apjoma lielākajam no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iesniedzēji,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atlases kārtai noteikts projekta iesniedzēju loks: otrajā atlases kārtā tie ir atkritumu apsaimniekošanas nozares komersanti, trešajā atlases kārtā - atkritumu apsaimniekošanas sabiedriskā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atlases kārtā kā projektu iesniedzēji noteikti atkritumu apsaimniekošanas sabiedriskā pakalpojuma sniedzēji, kam būtiskākais atbalsta saņemšanas nosacījums ir spēkā esošs pakalpojuma līgums ar katru AAR pašvaldību. Par projektu iesniedzējiem nav noteikti AARC, jo tiem Atkritumu apsaimniekošanas likumā nav deleģēti uzdevumi attiecībā uz sabiedrisko pakalpojumu sniegšanu un infrastruktūras izveidi. Vienlaikus tā kā AARC tiek veidoti uz esošo SAAP institucionālās bāzes, tad trešajā atlases kārtā kā viena no atbalstāmajām darbībām ir izrietoša no Atkritumu apsaimniekošanas likumā deleģētā uzdevuma par informācijas apkopošanu. Šīs darbības īstenošana netiek izpildīta kā sabiedriskais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Atkritumu apsaimniekošanas likumā noteikta AARC kompetence AAR ieviešanā, VARAM pieprasīs katra AAR AARC sniegt informāciju par tiem sabiedriskā pakalpojuma sniedzējiem, kuru ieteicams uzaicināt iesniegt projektus trešajā atlases kārtā. VARAM informēs Centrālo finanšu un līgumu aģentūru par AARC iesniegto informāciju un tiem sabiedriskā pakalpojuma sniedzējiem, kam nosūtīt uzaicinājumu iesniegt projektu trešajā atlases kārtā. Šāda pieeja vienlīdzīgi kā MK rīkojums nodrošina tiesisko paļāvību un ir ar vismazāko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w:t>
      </w:r>
      <w:r w:rsidR="00000000" w:rsidRPr="00000000" w:rsidDel="00000000">
        <w:rPr>
          <w:rtl w:val="0"/>
        </w:rPr>
        <w:t xml:space="preserve">Tā kā Pasākuma otrās un trešās atlases kārtas ieguldījumi paredzēti atkritumu apsaimniekošanas sistēmas attīstībai AAR līmenī, MK noteikumu projektā izvirzīta prasība atbalstāmās darbības plānot saskaņā ar spēkā esošiem reģionālajiem plāniem, kā arī projekta līmenī nodrošināt, ka apsaimniekojamo atkritumu daudzuma izcelsme ir vismaz 60% no attiecīgā AAR vai AAR apkalpotās teritorijas. Būtiski uzsvērt, ka atbilstība par reģionālo plānu spēkā esamību tiek paredzēta projektu iesniegumu vērtēšanas kritērijos, jo tikai tad, kad visas AAR ietilpstošās pašvaldības reģionālo plānu ir apstiprinājušas, tas stājas spēkā un ir pamatoti veikt ieguldījumus infrastruktūrā.</w:t>
      </w:r>
      <w:r w:rsidR="00000000" w:rsidRPr="00000000" w:rsidDel="00000000">
        <w:rPr>
          <w:rtl w:val="0"/>
        </w:rPr>
        <w:t xml:space="preserve">Ievērojot iepriekš minētos EK norādījumus, noteiktas arī atbalstāmās darbības abās atlases kārtās. Līdz ar to </w:t>
      </w:r>
      <w:r w:rsidR="00000000" w:rsidRPr="00000000" w:rsidDel="00000000">
        <w:rPr>
          <w:u w:val="single"/>
          <w:rtl w:val="0"/>
        </w:rPr>
        <w:t xml:space="preserve">otrajā atlases kārtā</w:t>
      </w:r>
      <w:r w:rsidR="00000000" w:rsidRPr="00000000" w:rsidDel="00000000">
        <w:rPr>
          <w:rtl w:val="0"/>
        </w:rPr>
        <w:t xml:space="preserve"> ir iespējams pieteikt tikai tādus projektus, kas atbilst atkritumu apsaimniekošanas hierarhijas augstākajiem līmeņiem - atkritumu atkārtota izmantošana, dalītā vākšana un pārstrāde. Šīm darbībām atbilst:</w:t>
      </w:r>
      <w:r w:rsidR="00000000" w:rsidRPr="00000000" w:rsidDel="00000000">
        <w:rPr>
          <w:rtl w:val="0"/>
        </w:rPr>
        <w:t xml:space="preserve">1) aprites ekonomikas centru izveide jeb centri, kuros iespējama lietu maiņa un labošana;</w:t>
      </w:r>
      <w:r w:rsidR="00000000" w:rsidRPr="00000000" w:rsidDel="00000000">
        <w:rPr>
          <w:rtl w:val="0"/>
        </w:rPr>
        <w:t xml:space="preserve">2) dalītu vāktu atkritumu šķirošanas līniju izveide un modernizācija, kas ļauj palielināt otrreizēji izmantojamo materiālu atguvi un vairāku atkritumu veidu atšķirošanu;</w:t>
      </w:r>
      <w:r w:rsidR="00000000" w:rsidRPr="00000000" w:rsidDel="00000000">
        <w:rPr>
          <w:rtl w:val="0"/>
        </w:rPr>
        <w:t xml:space="preserve">3) šķiroto atkritumu viedo laukumu izveide - tajos tiek nodrošināts tāds aprīkojums, kas ļauj automātiski identificēt klientus (konteineru atvēršanai lietojot elektroniskās atslēgas), automatizēt atkritumu svaru un daudzumu, dati pieejami reāllaikā, t.sk. attālināti u.c. funkcionalitāte. Šādu viedo laukumu izveide pieļaujama jau esošo laukumu vietā, tādējādi iedzīvotājiem sniedzot mūsdienīgu pakalpojumu vietā, kas jau tiem ir ierasts;</w:t>
      </w:r>
      <w:r w:rsidR="00000000" w:rsidRPr="00000000" w:rsidDel="00000000">
        <w:rPr>
          <w:rtl w:val="0"/>
        </w:rPr>
        <w:t xml:space="preserve">4) dalīti vāktu bioloģiski noārdāmu atkritumu specializēto transportlīdzekļu iegāde. Ievērojot šī atkritumu veida specifiku, kas liedz to sajaukt kopā ar citiem atkritumu veidiem, transportlīdzekļi iegādājami tikai dalīti vāktu bioloģiski noārdāmo atkritumu savākšanai. Šī atkritumu veida dalīta vākšana Latvijā ir obligāta no 2024. gada sākuma, kad stājies spēkā atkritumu dalītas savākšanas, sagatavošanas atkārtotai izmantošanai, pārstrādes un materiālu reģenerācijas regulējums. Šiem transportlīdzekļiem jānodrošina atbilstība Eiropas Parlamenta un Padomes Direktīvas 2009/33/EK (2009. gada 23. aprīlis) par tīro un energoefektīvo autotransporta līdzekļu izmantošanas veicināšanu prasībām.</w:t>
      </w:r>
      <w:r w:rsidR="00000000" w:rsidRPr="00000000" w:rsidDel="00000000">
        <w:rPr>
          <w:rtl w:val="0"/>
        </w:rPr>
        <w:t xml:space="preserve">Savukārt </w:t>
      </w:r>
      <w:r w:rsidR="00000000" w:rsidRPr="00000000" w:rsidDel="00000000">
        <w:rPr>
          <w:u w:val="single"/>
          <w:rtl w:val="0"/>
        </w:rPr>
        <w:t xml:space="preserve">trešajā atlases kārtā</w:t>
      </w:r>
      <w:r w:rsidR="00000000" w:rsidRPr="00000000" w:rsidDel="00000000">
        <w:rPr>
          <w:rtl w:val="0"/>
        </w:rPr>
        <w:t xml:space="preserve"> kā atbalstāmās darbības noteiktas:</w:t>
      </w:r>
      <w:r w:rsidR="00000000" w:rsidRPr="00000000" w:rsidDel="00000000">
        <w:rPr>
          <w:rtl w:val="0"/>
        </w:rPr>
        <w:t xml:space="preserve">1) nešķirotu sadzīves atkritumu šķirošanas līniju izveide, atjaunošana vai modernizācija, kas tādējādi sekmē EK norādījumu par tādu materiālu apglabāšanas samazinājumu, kuri ir pārstrādājami vai no kuriem var atgūt resursus;</w:t>
      </w:r>
      <w:r w:rsidR="00000000" w:rsidRPr="00000000" w:rsidDel="00000000">
        <w:rPr>
          <w:rtl w:val="0"/>
        </w:rPr>
        <w:t xml:space="preserve">2) sabiedrības izglītības centru atkritumu apsaimniekošanas jomā izveide vai modernizācija. Centros tiek nodrošināta attiecīgā AAR atkritumu radītāju (fiziskās un juridiskās personas) izglītošana, veicinot atbildīgu rīcību, vides apziņu un mudina radīt mazāk atkritumu;</w:t>
      </w:r>
      <w:r w:rsidR="00000000" w:rsidRPr="00000000" w:rsidDel="00000000">
        <w:rPr>
          <w:rtl w:val="0"/>
        </w:rPr>
        <w:t xml:space="preserve">3) informācijas sistēmas izveide datu uzkrāšanai un apkopošanai par sadzīves atkritumu apsaimniekošanu AAR. Šo darbību veic kā pašvaldības deleģēto pārvaldes uzdevumu un nevis kā sabiedrisko pakalpojumu. Korekta datu ieguve un uzskaite nepieciešama, lai sniegtu objektīvu un pārbaudītu informāciju par atkritumu apsaimniekošanas tiesību aktos noteikto mērķu izpildi. Jēgpilni ir veidot tādas informācijas sistēmas, kas vienlaicīgi nepieciešamas gan sabiedriskā pakalpojuma uzraudzības, gan deleģēto uzdevumu izpildei, kā arī tās iespējams pievienot valsts informācijas sistēmām. Finansējuma saņēmējam būs jānodrošina, ka informācijas sistēma ir funkcionāla vismaz piecus gadus pēc projekta beigām.</w:t>
      </w:r>
      <w:r w:rsidR="00000000" w:rsidRPr="00000000" w:rsidDel="00000000">
        <w:rPr>
          <w:b w:val="1"/>
          <w:rtl w:val="0"/>
        </w:rPr>
        <w:t xml:space="preserve">Neatbalstāmās darbības</w:t>
      </w:r>
      <w:r w:rsidR="00000000" w:rsidRPr="00000000" w:rsidDel="00000000">
        <w:rPr>
          <w:rtl w:val="0"/>
        </w:rPr>
        <w:t xml:space="preserve">Neatbalstāmo darbību loks MK noteikumu projektā noteikts saskaņā ar komercdarbības atbalsta regulējuma ierobežojumiem, EK norādījumiem un nolūkā samazināt darbību pārklāšanos ar citiem SAM 2.2.2. pasākumiem. Būtisks nosacījums izriet no Pasākuma otrās un trešās atlases kārtas mērķteritorijas - AAR, jo atbalsts var tikt sniegts tikai tādiem projektiem, kuru iesniedzēji var pierādīt, ka projektos notiks darbības ar atkritumiem, kuru izcelsme vismaz 60% apmērā tiek nodrošināta no AAR vai AAR apkalpotās teritorijas. Piemēram, atkritumu pārstrādes iekārtā tiks pārstrādāti atkritumi, kas vismaz 60% apmērā ir radīti attiecīgajā AAR. Nosacījums nav attiecināms uz vides izglītības centriem un informācijas sistēmām.</w:t>
      </w:r>
      <w:r w:rsidR="00000000" w:rsidRPr="00000000" w:rsidDel="00000000">
        <w:rPr>
          <w:b w:val="1"/>
          <w:rtl w:val="0"/>
        </w:rPr>
        <w:t xml:space="preserve">Attiecināmās izmaksas</w:t>
      </w:r>
      <w:r w:rsidR="00000000" w:rsidRPr="00000000" w:rsidDel="00000000">
        <w:rPr>
          <w:rtl w:val="0"/>
        </w:rPr>
        <w:t xml:space="preserve">Atbilstoši plānotajām atbalstāmajām darbībām MK noteikumu projektā noteikti arī attiecināmo izmaksu veidi, kas paredz dažādas ar būvniecību saistītas izmaksas (t.sk. uzraudzības un būvprojekta izstrādes), tehnoloģisko iekārtu, traktortehnikas un specializētā autotransporta iegādes izmaksas. Specifiski trešajai atlases kārtai noteikts, ka attiecināmas ir arī izglītojošo un informatīvo materiālu izstrādes un ekspozīciju izveides izmaksas sabiedrības izglītības centru vajadzībām, kā arī izmaksas, kas nepieciešams informācijas sistēmas izstrādei. Aprites ekonomikas centru izveides vajadzībām otrajā atlases kārtā attiecināmas ir darbagaldu iegādes izmaksas, kas ļauj veikt remontdarbus lietām, kam tas nepieciešams pirms nodošanas atkārtotā izmantošanā.</w:t>
      </w:r>
      <w:r w:rsidR="00000000" w:rsidRPr="00000000" w:rsidDel="00000000">
        <w:rPr>
          <w:rtl w:val="0"/>
        </w:rPr>
        <w:t xml:space="preserve">Kā attiecināmās izmaksas abās atlases kārtās noteiktas traktortehnikas jeb tehnisko iekārtu (piemēram, iekrāvēji, pacēlāji, celtņi, ekskavatori u.tml. komunālā vai traktortehnika) iegādes izmaksas, jo tās nodrošina pilnvērtīgu iekārtas darbināšanu (iekraujamā materiāla pārvietošanu, iekraušanu u.c.). Šīs tehniskās iekārtas uzskatāmas par pārvietojamiem agregātiem, kurus neizmanto ceļu satiksmē.</w:t>
      </w:r>
      <w:r w:rsidR="00000000" w:rsidRPr="00000000" w:rsidDel="00000000">
        <w:rPr>
          <w:rtl w:val="0"/>
        </w:rPr>
        <w:t xml:space="preserve">Projektos nav iekļaujamas neattiecināmās izmaksas. Ja projektā tā mērķa sasniegšanai tiek paredzētas darbības ārpus projekta, projekta iesniegumā jānorāda visa informācija par tām. Šādos gadījumos, vērtējot projekta iesniegumu, tiks pievērsta uzmanība pamatojumam, ka atbalsta nepiešķiršanas gadījumā ieguldījums netiktu veikts (ja attiecināms). Attiecīgi arī noteikta prasība projektā plānotajiem infrastruktūras objektiem būt funkcionējošiem līdz noslēguma maksājuma iesniegšanas dienai sadarbības iestādē. Tādējādi tiek pieļauta kumulācija ar citu projektu (tai skaitā ar komercdarbības atbalstu īstenotu) vai pašu īstenotām darbībām, ja vien tiek novērsts dubultās finansēšanas risks, jo nav pieļaujams, ka finansējuma saņēmējs projekta attiecināmajos izdevumos ir iekļāvis izdevumus, kas vienlaikus tikuši, tiek finansēti vai kurus plānots finansēt no citiem līdzekļiem). Pieļaujams, ka var veidoties sinerģija arī potenciāli ar LIFE integrēto projektu “Atkritumi kā resursi Latvijā – Reģionālās ilgtspējas un aprites veicināšana, ieviešot atkritumu kā resursu izmantošanas koncepciju” (LIFE </w:t>
      </w:r>
      <w:r w:rsidR="00000000" w:rsidRPr="00000000" w:rsidDel="00000000">
        <w:rPr>
          <w:i w:val="1"/>
          <w:rtl w:val="0"/>
        </w:rPr>
        <w:t xml:space="preserve">Waste To Resources IP</w:t>
      </w:r>
      <w:r w:rsidR="00000000" w:rsidRPr="00000000" w:rsidDel="00000000">
        <w:rPr>
          <w:rtl w:val="0"/>
        </w:rPr>
        <w:t xml:space="preserve">, LIFE20 IPE/LV/000014), tomēr MK noteikumu projekts paredz, ka nav pieļaujama komercdarbības atbalsta kumulācija ar finansējumu citas atbalsta programmas ietvaros, kam finansējums tiek piešķirts no vietējiem, reģionālajiem, valsts vai Eiropas Savienības finanšu līdzekļiem </w:t>
      </w:r>
      <w:r w:rsidR="00000000" w:rsidRPr="00000000" w:rsidDel="00000000">
        <w:rPr>
          <w:u w:val="single"/>
          <w:rtl w:val="0"/>
        </w:rPr>
        <w:t xml:space="preserve">par tām pašām attiecināmajām izmaksām</w:t>
      </w:r>
      <w:r w:rsidR="00000000" w:rsidRPr="00000000" w:rsidDel="00000000">
        <w:rPr>
          <w:rtl w:val="0"/>
        </w:rPr>
        <w:t xml:space="preserve">. Piemēram, var būt situācija, ka būvprojekts ir izstrādāts par citiem publiskajiem līdzekļiem (piemēram, </w:t>
      </w:r>
      <w:r w:rsidR="00000000" w:rsidRPr="00000000" w:rsidDel="00000000">
        <w:rPr>
          <w:i w:val="1"/>
          <w:rtl w:val="0"/>
        </w:rPr>
        <w:t xml:space="preserve">de minimis</w:t>
      </w:r>
      <w:r w:rsidR="00000000" w:rsidRPr="00000000" w:rsidDel="00000000">
        <w:rPr>
          <w:rtl w:val="0"/>
        </w:rPr>
        <w:t xml:space="preserve"> citu atbalsta programmu ietvaros), bet tādā gadījumā izmaksas par tā izstrādi Pasākuma projektā neiekļauj. Lai pārliecinātos par dubultā finansējuma neesamību attiecībā uz LIFE integrēto projektu “Atkritumi kā resursi Latvijā – Reģionālās ilgtspējas un aprites veicināšana, ieviešot atkritumu kā resursu izmantošanas koncepciju” (LIFE </w:t>
      </w:r>
      <w:r w:rsidR="00000000" w:rsidRPr="00000000" w:rsidDel="00000000">
        <w:rPr>
          <w:i w:val="1"/>
          <w:rtl w:val="0"/>
        </w:rPr>
        <w:t xml:space="preserve">Waste To Resources IP</w:t>
      </w:r>
      <w:r w:rsidR="00000000" w:rsidRPr="00000000" w:rsidDel="00000000">
        <w:rPr>
          <w:rtl w:val="0"/>
        </w:rPr>
        <w:t xml:space="preserve">, LIFE20 IPE/LV/000014), kritēriju metodikā tiks noteikts, ka jāpieprasa informācija Klimata un enerģētikas ministrijas LIFE integrētā projekta ieviešanas nodaļai. Tātad </w:t>
      </w:r>
      <w:r w:rsidR="00000000" w:rsidRPr="00000000" w:rsidDel="00000000">
        <w:rPr>
          <w:i w:val="1"/>
          <w:rtl w:val="0"/>
        </w:rPr>
        <w:t xml:space="preserve">de minimis</w:t>
      </w:r>
      <w:r w:rsidR="00000000" w:rsidRPr="00000000" w:rsidDel="00000000">
        <w:rPr>
          <w:rtl w:val="0"/>
        </w:rPr>
        <w:t xml:space="preserve"> atbalstu par pabeigta būvprojekta izstrādi var saņemt tikai tādā gadījumā, ja būvprojekts izstrādāts par privāto finansējumu, nepiesaistot citus publiskos līdzekļus. Stimulējošo ietekmi pārbauda projekta līmenī tikai projektā iekļautajām darbībām.</w:t>
      </w:r>
      <w:r w:rsidR="00000000" w:rsidRPr="00000000" w:rsidDel="00000000">
        <w:rPr>
          <w:rtl w:val="0"/>
        </w:rPr>
        <w:t xml:space="preserve">Ja pēc projekta iesnieguma apstiprināšanas, veicot būvdarbu vai iekārtu piegādes iepirkumu, tiek secināts, ka plānotās attiecināmās izmaksas ir lielākas nekā sākotnēji plānots, tas netiek uzskatīts par sadārdzinājumu (sadārdzinājums iespējams tikai jau spēkā esošos līgumos par būvniecību vai iekārtu piegādi). Attiecīgi finansējuma saņēmējam ir jāveic grozījumi līgumā par projekta īstenošanu, palielinot attiecināmās izmaksas, vienlaikus nemainot tam piešķirto Kohēzijas fonda finansējuma apmēru (tātad tiek palielināts privātais līdzfinansējums).</w:t>
      </w:r>
      <w:r w:rsidR="00000000" w:rsidRPr="00000000" w:rsidDel="00000000">
        <w:rPr>
          <w:rtl w:val="0"/>
        </w:rPr>
        <w:t xml:space="preserve">MK noteikumu projektā nav paredzētas vienkāršotās izmaksas, jo Pasākuma otrajā un trešajā atlases kārtā tiek piemērots komercdarbības atbalsta regulējums, kā arī nevienā atbalstāmo darbību gadījumā nav iespējamas izmaksas zemākas par 200 000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Projektos var plānot vienu no šādiem izdevumu veidiem - līdzekļus neparedzētiem gadījumiem vai rezerves izmaksas. Tas ir finanšu apjoms, kas var tikt plānots iepriekš neparedzamu apstākļu iestāšanās seku mazināšanai. Kā iespējami noteikti abi varianti, tomēr projektā iespējams piemērot tikai vienu no veidiem. Ņemot vērā, ka projektu ietvaros tiks veikta arī būvniecības, MK noteikumu projekts paredz, ka finansējuma saņēmējs nepieciešamības gadījumā var izmantot vai nu neparedzēto izdevumu apjomu (līdz 5% apmērā no projekta kopējām attiecināmajām izmaksām) vai rezerves izmaksu apjomu (līdz 10% apmērā no projekta attiecināmajām būvniecības izmaksām). </w:t>
      </w:r>
      <w:r w:rsidR="00000000" w:rsidRPr="00000000" w:rsidDel="00000000">
        <w:rPr>
          <w:b w:val="1"/>
          <w:rtl w:val="0"/>
        </w:rPr>
        <w:t xml:space="preserve">Rādītāji</w:t>
      </w:r>
      <w:r w:rsidR="00000000" w:rsidRPr="00000000" w:rsidDel="00000000">
        <w:rPr>
          <w:rtl w:val="0"/>
        </w:rPr>
        <w:t xml:space="preserve">MK noteikumu projekts nosaka, ka abu atlases kārtu īstenošanas rezultātā līdz 2029. gada 31. decembrim ir jāsasniedz šādi iznākuma rādītāji:</w:t>
      </w:r>
      <w:r w:rsidR="00000000" w:rsidRPr="00000000" w:rsidDel="00000000">
        <w:rPr>
          <w:rtl w:val="0"/>
        </w:rPr>
        <w:t xml:space="preserve">1) atbalsts tiek sniegts vismaz pieciem uzņēmumiem (summēti abās kārtās);</w:t>
      </w:r>
      <w:r w:rsidR="00000000" w:rsidRPr="00000000" w:rsidDel="00000000">
        <w:rPr>
          <w:rtl w:val="0"/>
        </w:rPr>
        <w:t xml:space="preserve">2) tiek izveidota papildu jauda atkritumu pārstrādei 30 000 t/gadā (attiecināms uz otro kārtu). Rādītājs ir sasniegts, iekārtu nododot ekspluatācijā.</w:t>
      </w:r>
      <w:r w:rsidR="00000000" w:rsidRPr="00000000" w:rsidDel="00000000">
        <w:rPr>
          <w:rtl w:val="0"/>
        </w:rPr>
        <w:t xml:space="preserve">Pēc tam, kad pabeigtie atbalstītie projekti, pirmā pēcuzraudzības gada beigās sasniedzami šādi rezultāta rādītāji:</w:t>
      </w:r>
      <w:r w:rsidR="00000000" w:rsidRPr="00000000" w:rsidDel="00000000">
        <w:rPr>
          <w:rtl w:val="0"/>
        </w:rPr>
        <w:t xml:space="preserve">1) tiek nodrošināta atkritumu pārstrāde apjomā, kāda ir izveidoto atkritumu pārstrādes iekārtu jauda, ja vien projektā veikti attiecīgi ieguldījumi. Bāzes vērtība šim rādītājam ir 72 500 t/gadā, attiecīgi sasniedzamā vērtība ir 102 500 t/gadā. Rezultāta rādītāja vērtība, kāda tā noteikta Eiropas Savienības kohēzijas politikas programmā 2021. - 2027. gadam tiek sasniegta SAM 2.2.2. līmenī, ja pārstrādāto atkritumu apjoms tiek sasniegts 273 000 t/gadā (ņemot vērā 2014. – 2020. gada plānošanas perioda projektu ietekmi, kas nosaka bāzes vērtību 193 000 t/gadā, summējot iznākuma rādītāju par papildu jaudu atkritumu pārstrādei no 2021. – 2027. gada plānošanas perioda ieguldījumiem Pasākuma pirmajā un otrajā atlases kārtā).</w:t>
      </w:r>
      <w:r w:rsidR="00000000" w:rsidRPr="00000000" w:rsidDel="00000000">
        <w:rPr>
          <w:rtl w:val="0"/>
        </w:rPr>
        <w:t xml:space="preserve">2) šķiroti savāktais atkritumu daudzums ir vismaz 500 t/gadā, ja projektā veikti ieguldījumi atkritumu dalītās vākšanas nodrošināšanai.</w:t>
      </w:r>
      <w:r w:rsidR="00000000" w:rsidRPr="00000000" w:rsidDel="00000000">
        <w:rPr>
          <w:b w:val="1"/>
          <w:rtl w:val="0"/>
        </w:rPr>
        <w:t xml:space="preserve">Komercdarbības atbalsta regulējuma nosacījumi</w:t>
      </w:r>
      <w:r w:rsidR="00000000" w:rsidRPr="00000000" w:rsidDel="00000000">
        <w:rPr>
          <w:rtl w:val="0"/>
        </w:rPr>
        <w:t xml:space="preserve">Kohēzijas fonda finansējumu Pasākuma otrajā un trešajā kārtā piešķir, piemērojot šādu komercdarbības atbalsta regulējumu:</w:t>
      </w:r>
      <w:r w:rsidR="00000000" w:rsidRPr="00000000" w:rsidDel="00000000">
        <w:rPr>
          <w:rtl w:val="0"/>
        </w:rPr>
        <w:t xml:space="preserve">1) otrajā atlases kārtā - Regulas Nr. 651/2014 47. pants, </w:t>
      </w:r>
      <w:r w:rsidR="00000000" w:rsidRPr="00000000" w:rsidDel="00000000">
        <w:rPr>
          <w:i w:val="1"/>
          <w:rtl w:val="0"/>
        </w:rPr>
        <w:t xml:space="preserve">de minimis</w:t>
      </w:r>
      <w:r w:rsidR="00000000" w:rsidRPr="00000000" w:rsidDel="00000000">
        <w:rPr>
          <w:rtl w:val="0"/>
        </w:rPr>
        <w:t xml:space="preserve">;</w:t>
      </w:r>
      <w:r w:rsidR="00000000" w:rsidRPr="00000000" w:rsidDel="00000000">
        <w:rPr>
          <w:rtl w:val="0"/>
        </w:rPr>
        <w:t xml:space="preserve">2) trešajā atlases kārtā - EK lēmums Nr.2021/21/ES.</w:t>
      </w:r>
      <w:r w:rsidR="00000000" w:rsidRPr="00000000" w:rsidDel="00000000">
        <w:rPr>
          <w:rtl w:val="0"/>
        </w:rPr>
        <w:t xml:space="preserve">Saskaņā ar regulas Nr. 651/2014 47. pantu MK noteikumu projektā iekļauti šādi nosacījumi:</w:t>
      </w:r>
      <w:r w:rsidR="00000000" w:rsidRPr="00000000" w:rsidDel="00000000">
        <w:rPr>
          <w:rtl w:val="0"/>
        </w:rPr>
        <w:t xml:space="preserve">- atbalsts paredzēts trešo personu radīto atkritumu pārstrādei. Tādējādi nav atļauta atbalsta saņēmēja radīto atkritumu pārstrāde (tiesību normas ievērošanu regulē MK noteikumu projekta punkts par komersanta darbības atbilstību Saimniecisko darbību statistiskajai klasifikācijai);</w:t>
      </w:r>
      <w:r w:rsidR="00000000" w:rsidRPr="00000000" w:rsidDel="00000000">
        <w:rPr>
          <w:rtl w:val="0"/>
        </w:rPr>
        <w:t xml:space="preserve">- ieguldījumi nedrīkst veicināt atkritumu rašanos, tamdēļ izvirzīta prasība projekta iesniegumam pievienot projektā apsaimniekojamo atkritumu pieejamības un pastāvīgas plūsmas nodrošinājuma aprakstu. Tajā jānorāda atkritumu izcelsme un avoti un jāsniedz izvērtējums par attiecīgā atkritumu veida pieejamību projekta dzīves ciklā (otrajā kārtā - 10 gadi, trešajā kārtā - 20 gadi);</w:t>
      </w:r>
      <w:r w:rsidR="00000000" w:rsidRPr="00000000" w:rsidDel="00000000">
        <w:rPr>
          <w:rtl w:val="0"/>
        </w:rPr>
        <w:t xml:space="preserve">- atbalsta pretendenta pienākums pierādīt, ka ieguldījumi netiktu veikti, ja Kohēzijas fonda atbalsts netiktu piešķirts;</w:t>
      </w:r>
      <w:r w:rsidR="00000000" w:rsidRPr="00000000" w:rsidDel="00000000">
        <w:rPr>
          <w:rtl w:val="0"/>
        </w:rPr>
        <w:t xml:space="preserve">- atbalsta intensitāte un tās paaugstināšanas iespējas. Regulas Nr. 651/2014 47. panta 9. punktā noteikts, ka atbalsta intensitāti var paaugstināt par 15% ieguldījumiem tādos atbalstāmos apgabalos, kas atbilst Līguma 107. panta 3. punkta a) apakšpunkta nosacījumiem. Latvijas gadījumā minētie apgabali noteikti Ministru kabineta 2021. gada 2. novembra noteikumos Nr.729 “Noteikumi par reģionālās attīstības atbalstu Latvijas Republikā līdz 2027. gadam”, un tie ir Rīga, Pierīga, Kurzeme, Zemgale, Vidzeme un Latgale. Savukārt Regulas Nr. 651/2014 47. panta 8. punktā noteikts, ka maziem uzņēmumiem atbalsta intensitāti var palielināt par 20%, savukārt vidējiem uzņēmumiem – par 10%. Tādējādi maksimālās atbalsta intensitātes likmes atkarībā no komersanta lieluma ir šādas:</w:t>
      </w:r>
      <w:r w:rsidR="00000000" w:rsidRPr="00000000" w:rsidDel="00000000">
        <w:rPr>
          <w:rtl w:val="0"/>
        </w:rPr>
        <w:t xml:space="preserve">     - lielajiem komersantiem 55%;</w:t>
      </w:r>
      <w:r w:rsidR="00000000" w:rsidRPr="00000000" w:rsidDel="00000000">
        <w:rPr>
          <w:rtl w:val="0"/>
        </w:rPr>
        <w:t xml:space="preserve">     - vidējiem komersantiem 65%;</w:t>
      </w:r>
      <w:r w:rsidR="00000000" w:rsidRPr="00000000" w:rsidDel="00000000">
        <w:rPr>
          <w:rtl w:val="0"/>
        </w:rPr>
        <w:t xml:space="preserve">     - mazajiem komersantiem 75%.</w:t>
      </w:r>
      <w:r w:rsidR="00000000" w:rsidRPr="00000000" w:rsidDel="00000000">
        <w:rPr>
          <w:rtl w:val="0"/>
        </w:rPr>
        <w:t xml:space="preserve">Lai izpildītu Regulas Nr. 651/2014 47. panta 7. punkta trešajā daļā noteikto, projekta iesniedzējam noteikts pienākums aprakstīt un pievienot dokumentārus pierādījumus tam, ka atbalsta nepiešķiršanas gadījumā ieguldījums netiktu veikts. To var pamatot, piemēram, aprakstot tirgus nepilnības, otrreizēju izejvielu pieprasījuma krituma vai cenu izmaiņas u.c. Hipotētisko scenāriju un ieguldījumu pamatojumu veic dalībvalsts līmenī katrā individuālajā gadījumā. Atkarībā no konkrētā projekta ticamākais scenārijs var būt arī situācija, ka nav alternatīvu ieguldījumu, un to projekta iesniedzējs pamato ar faktiem. Kā skaidro Eiropas Komisija, faktu pārbaudi, ja nepieciešams, var veikt, konsultējoties ar atkritumu apsaimniekošanas nozares ekspertiem, kuriem ir pietiekama pieredze vai nozares zināšanas, un kuri ir neatkarīgi no atbalsta pieteikuma iesniedzēja. Likmes noteikšanai izstrādā izmaksu un ieguvumu analīzi.</w:t>
      </w:r>
      <w:r w:rsidR="00000000" w:rsidRPr="00000000" w:rsidDel="00000000">
        <w:rPr>
          <w:rtl w:val="0"/>
        </w:rPr>
        <w:t xml:space="preserve">Vienlaikus MK noteikumu projektā iekļauts nosacījums, ka gadījumā, ja viedais laukums tiek veidots jau esoša šķiroto atkritumu savākšanas laukuma vietā, tad attiecināmas ir papildu ieguldījumu izmaksas, salīdzinot izmaksas ar tādām, kas rastos projekta iesniedzējam gadījumā, ja tiktu veidots laukums bez viedajām pazīmēm. Šādos gadījumos maksimālā Kohēzijas fonda intensitātes likme noteikta 40%, jo iedzīvotājiem netiek radīta papildu atkritumu šķirošanas laukumu pieejamība - tiek modernizēts esošais laukums, nevis radīts jauns. Papildu ieguldījumu izmaksu aprēķina pieeja noteikta arī dalīti vāktu atkritumu šķirošanas līniju modernizācijas gadījumā (modernizējot tikai kādu no esošās iekārtas daļām). Projekta iesniedzējam jāsalīdzina esošās iekārtas daļas izmaksas ar tādu iekārtu, ko plānots uzstādīt, bet kas ir tehnoloģiski modernāka un efektīvāka. Arī šādos gadījumos maksimālā Kohēzijas fonda intensitāte noteikta 40%, jo tiek modernizēta tikai daļa iekārtas.</w:t>
      </w:r>
      <w:r w:rsidR="00000000" w:rsidRPr="00000000" w:rsidDel="00000000">
        <w:rPr>
          <w:rtl w:val="0"/>
        </w:rPr>
        <w:t xml:space="preserve">Saskaņā ar EK lēmumu Nr.2021/21/ES MK noteikumu projektā iekļautas normas par sabiedriskā pakalpojuma sniegšanas līgumu un tajā iekļaujamo informāciju.</w:t>
      </w:r>
      <w:r w:rsidR="00000000" w:rsidRPr="00000000" w:rsidDel="00000000">
        <w:rPr>
          <w:rtl w:val="0"/>
        </w:rPr>
        <w:t xml:space="preserve">Ievērojot Komisijas 2023. gada 13. decembra Regulu (ES) Nr.2023/2831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MK noteikumu projekts paredz nosacījumus tā piešķiršanai, uzraudzībai un informācijas glabāšanai. Kopējais </w:t>
      </w:r>
      <w:r w:rsidR="00000000" w:rsidRPr="00000000" w:rsidDel="00000000">
        <w:rPr>
          <w:i w:val="1"/>
          <w:rtl w:val="0"/>
        </w:rPr>
        <w:t xml:space="preserve">de minimis</w:t>
      </w:r>
      <w:r w:rsidR="00000000" w:rsidRPr="00000000" w:rsidDel="00000000">
        <w:rPr>
          <w:rtl w:val="0"/>
        </w:rPr>
        <w:t xml:space="preserve"> atbalsts jeb robežlielums, kas piešķirts vienam vienotam uzņēmumam, jebkurā triju gadu periodā nepārsniedz 300 000 </w:t>
      </w:r>
      <w:r w:rsidR="00000000" w:rsidRPr="00000000" w:rsidDel="00000000">
        <w:rPr>
          <w:i w:val="1"/>
          <w:rtl w:val="0"/>
        </w:rPr>
        <w:t xml:space="preserve">euro</w:t>
      </w:r>
      <w:r w:rsidR="00000000" w:rsidRPr="00000000" w:rsidDel="00000000">
        <w:rPr>
          <w:rtl w:val="0"/>
        </w:rPr>
        <w:t xml:space="preserve">. Attiecīgi projekta iesniedzējam ir jāvērtē, kādā apmērā tam viena vienota uzņēmuma līmenī ir pieejams </w:t>
      </w:r>
      <w:r w:rsidR="00000000" w:rsidRPr="00000000" w:rsidDel="00000000">
        <w:rPr>
          <w:i w:val="1"/>
          <w:rtl w:val="0"/>
        </w:rPr>
        <w:t xml:space="preserve">de minimis </w:t>
      </w:r>
      <w:r w:rsidR="00000000" w:rsidRPr="00000000" w:rsidDel="00000000">
        <w:rPr>
          <w:rtl w:val="0"/>
        </w:rPr>
        <w:t xml:space="preserve">atbalstāmo darbību īstenošanai. Ar trīs gadu periodu saprotams laika periods no konkrēta datuma, kad piešķirts pēdējais atbalsts līdz konkrētam datumam, kas ir jaunā piešķiramā atbalsta datums, piemēram, ja jaunā atbalsta piešķiršanas datums ir 2024. gada 18.jūnijs, trīs gadu periods būs skaitāms līdz 2021. gada 18. jūnijam.</w:t>
      </w:r>
      <w:r w:rsidR="00000000" w:rsidRPr="00000000" w:rsidDel="00000000">
        <w:rPr>
          <w:b w:val="1"/>
          <w:rtl w:val="0"/>
        </w:rPr>
        <w:t xml:space="preserve">Horizontālie principi</w:t>
      </w:r>
      <w:r w:rsidR="00000000" w:rsidRPr="00000000" w:rsidDel="00000000">
        <w:rPr>
          <w:rtl w:val="0"/>
        </w:rPr>
        <w:t xml:space="preserve">Ieguldījumiem projektos noteikti horizontālie principi (turpmāk - HP) "Klimatdrošināšana", "Nenodarīt būtisku kaitējumu", "Energoefektivitāte pirmajā vietā" un "Vienlīdzība, iekļaušana, nediskriminācija un pamattiesību ievērošana" kritēriji, darbības un ietekme.</w:t>
      </w:r>
      <w:r w:rsidR="00000000" w:rsidRPr="00000000" w:rsidDel="00000000">
        <w:rPr>
          <w:rtl w:val="0"/>
        </w:rPr>
        <w:t xml:space="preserve">Attiecībā uz HP "Klimatdrošināšana" Pasākuma otrajai un trešajai kārta ir noteikta tieša ietekme, paredzot projekta iesniegumā vērtēt klimatiskās ietekmes faktorus, lai tiktu veidota tāda infrastruktūra, kas ir noturīga pret šo faktoru izpausmi. Jāveic arī siltumnīcefekta gāzu (turpmāk – SEG) emisiju ietaupījuma aprēķins, ja vien projektā ir paredzēts SEG emisiju samazinošas darbības.</w:t>
      </w:r>
      <w:r w:rsidR="00000000" w:rsidRPr="00000000" w:rsidDel="00000000">
        <w:rPr>
          <w:rtl w:val="0"/>
        </w:rPr>
        <w:t xml:space="preserve">Attiecībā uz HP "Nenodarīt būtisku kaitējumu" noteikta virkne nosacījumu šī HP īstenošanai, jo Pasākuma otrajai un trešajai atlases kārtai ir tieša ietekme uz šo HP:</w:t>
      </w:r>
      <w:r w:rsidR="00000000" w:rsidRPr="00000000" w:rsidDel="00000000">
        <w:rPr>
          <w:rtl w:val="0"/>
        </w:rPr>
        <w:t xml:space="preserve">-  zaļā publiskā iepirkuma organizēšana ir obligāta darbībām, kas noteiktas MK 2017. gada 20. jūnija noteikumu Nr. 353 “Prasības zaļajam publiskajam iepirkumam un to piemērošanas kārtība” 1. pielikumā, savukārt fakultatīvi 2. pielikumā noteiktajos gadījumos, kur tas attiecināms un iespējams, vai, sniedzot pamatojumu, ja tas nav iespējams;</w:t>
      </w:r>
      <w:r w:rsidR="00000000" w:rsidRPr="00000000" w:rsidDel="00000000">
        <w:rPr>
          <w:rtl w:val="0"/>
        </w:rPr>
        <w:t xml:space="preserve">-  projekta darbībām ir veikts ietekmes uz vidi novērtējums vai sākotnējais izvērtējums – projektu iesniegumu vērtēšanas kritēriji paredz veikt ietekmes uz vidi novērtējumu vai sākotnējo izvērtējumu jau agrīnā projekta plānošanas fāzē. Tas ļauj jau laikus identificēt ar projekta īstenošanu saistītus uzraudzības pasākumus gan būvniecības, gan ekspluatācijas fāzē;</w:t>
      </w:r>
      <w:r w:rsidR="00000000" w:rsidRPr="00000000" w:rsidDel="00000000">
        <w:rPr>
          <w:rtl w:val="0"/>
        </w:rPr>
        <w:t xml:space="preserve">-  prasība par atbilstošas atļaujas saņemšanu darbībai ar atkritumiem;</w:t>
      </w:r>
      <w:r w:rsidR="00000000" w:rsidRPr="00000000" w:rsidDel="00000000">
        <w:rPr>
          <w:rtl w:val="0"/>
        </w:rPr>
        <w:t xml:space="preserve">-  īpaši tiek izcelta dabas aizsardzību ietekmējoša prasība – ievērot prasības par ciršanas aizliegumu putnu ligzdošanas periodā. Nosacījumi izvirzīti, ņemot vērā biežo šo prasību pārkāpšanu un negatīvo publicitāti;</w:t>
      </w:r>
      <w:r w:rsidR="00000000" w:rsidRPr="00000000" w:rsidDel="00000000">
        <w:rPr>
          <w:rtl w:val="0"/>
        </w:rPr>
        <w:t xml:space="preserve">- kā specifiskais atbilstības kritērijs tiks noteikta projektā plānotās darbības atbilstība pašvaldības teritorijas plānojumam – prasība noteikta, lai gūtu pārliecību, ka projektā paredzētās darbības ļauts īstenot saskaņā ar projekta īstenošanas vietai piekritīgo spēkā esošu pašvaldības teritorijas plānojumu atbilstoši teritorijas izmantošanas veidam. </w:t>
      </w:r>
      <w:r w:rsidR="00000000" w:rsidRPr="00000000" w:rsidDel="00000000">
        <w:rPr>
          <w:rtl w:val="0"/>
        </w:rPr>
        <w:t xml:space="preserve">HP "Energoefektivitāte pirmajā vietā" ir noteikta netieša ietekme, izvirzot prasību paredzēt enerģijas ietaupījumu vai veikt pasākumus, kas aizstājami ar alternatīviem risinājumiem, ja vien projektā paredzētas attiecīgas darbības. Attiecīgi projekta iesniegumam tad jāpievieno informācija par esošas būves enerģijas patēriņu, ja plānots veidot aprites ekonomikas vai vides izglītības centrus un tas tiek veikts, esošu ēku pārbūvējot vai atjaunojot.</w:t>
      </w:r>
      <w:r w:rsidR="00000000" w:rsidRPr="00000000" w:rsidDel="00000000">
        <w:rPr>
          <w:rtl w:val="0"/>
        </w:rPr>
        <w:t xml:space="preserve">Attiecībā uz HP "Vienlīdzība, iekļaušana, nediskriminācija un pamattiesību ievērošana" noteikts, ka Pasākuma otrajai un trešajai atlases kārtai nav ietekmes uz šo HP (projektu mērķis ir lielākoties tehniska rakstura, ieguldījumi nav saistīti ar cilvēkresursu attīstību un tikai daļēji ar publisko būvju un ārtelpas izveidi), kas nozīmē, ka projektā būs jāiekļauj viena vispārīga šī principa darbība, kas attiecas uz publicitāti, personālu vai publiskajiem iepirkumiem. Izstrādājot informatīvos materiālus, finansējuma saņēmēji ir īpaši aicināti tos izstrādāt, ievērojot vides un informācijas piekļūstamības princips, proti, informācija būs piekļūstama personām ar funkcionāliem traucējumiem ar vairākiem sensorajiem kanāliem (redze, dzirde, tauste). </w:t>
      </w:r>
      <w:r w:rsidR="00000000" w:rsidRPr="00000000" w:rsidDel="00000000">
        <w:rPr>
          <w:b w:val="1"/>
          <w:rtl w:val="0"/>
        </w:rPr>
        <w:t xml:space="preserve">Citi nosacījumi</w:t>
      </w:r>
      <w:r w:rsidR="00000000" w:rsidRPr="00000000" w:rsidDel="00000000">
        <w:rPr>
          <w:rtl w:val="0"/>
        </w:rPr>
        <w:t xml:space="preserve">Interešu konflikta regulējums ES tiek stiprināts, lai cita starpā nodrošinātu ES fondu ieguldījumu pārredzamību, reputāciju un objektivitāti. Tas ir būtiski ne tikai valsts pārvaldei, bet arī finansējuma saņēmējam. Tamdēļ MK noteikumu projekts paredz finansējuma saņēmējam izstrādāt kritērijus,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rīcībai gadījumiem, kad interešu konflikts, krāpšana vai korupcija ir atklāta.</w:t>
      </w:r>
      <w:r w:rsidR="00000000" w:rsidRPr="00000000" w:rsidDel="00000000">
        <w:rPr>
          <w:rtl w:val="0"/>
        </w:rPr>
        <w:t xml:space="preserve">MK noteikumu projekts paredz projekta iesniedzējam izvērtēt zaļa, sociāla vai inovatīva iepirkuma procedūras piemērošanu, izpildot tiesību aktos noteiktās obligātās prasības.</w:t>
      </w:r>
      <w:r w:rsidR="00000000" w:rsidRPr="00000000" w:rsidDel="00000000">
        <w:rPr>
          <w:rtl w:val="0"/>
        </w:rPr>
        <w:t xml:space="preserve">Lai projektu iesniegumu vērtēšanas komisija varētu pārliecināties, ka projektā plānotā produktu vai otrreizēju izejvielu ražošana uzskatāma kā atkritumu pārstrādes gala rezultāts, projektu iesniegumu vērtēšanas procesā plānots piesaistīt Valsts vides dienestu, tam sniedzot izvērtējumu, vai atkritumu pārstrādes procesa rezultāts ir uzskatāms par produktu vai otrreizējo izejvielu.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piemērot citu komercdarbības atbalsta regulējumu – Eiropas Komisijas Reģionālā valsts atbalsta pamatnostādnes (2021/C 153/01). Tomēr no ieviešanas mehānisma skatupunkta šīs pamatnostādnes ir ar lielāku administratīvo slogu gan atbalsta regulējuma plānošanas, gan sniegšanas fāzē. Arī maksimālās atbalsta intensitātes, kas ir nozīmīgs faktors atbalsta programmas sekmībā, izpildot regulas Nr.651/2014 prasības, ir augstākas, kā arī regula Nr.651/2014 ļauj veikt ieguldījumus Rīgas un Pierīgas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izvirzīta prasība izstrādāt izmaksu un ieguvumu analīzi, lai noteiktu maksimālo projektam pieejamo Kohēzijas fonda finansējuma intensitāti.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pirmajai atlases kārtai ir tieša ietekme uz Eiropas Savienības stratēģiju Baltijas jūras reģionam, jo paredzētās darbības veicina stratēģiskā mērķa “Glābt jūru” sasniegšanu.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iestādes un kapitālsabiedrības, sabiedriskā pakalpojuma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atsevišķu nozari – atkritumu apsaimniekošanu, veicinot labvēlīgus apstākļus atkritumu apsaimniekošanai AAR, kas ļautu tuvināties ES noteikto mērķu virzienā un veicinātu resursefektivitāti. Regulas Nr.651/2014 nosacījumi atbalsta piešķiršanai nodrošina samērīgu valsts atbalstu, piešķirot publiskos līdzekļus tādu projektu īstenošanai, kas pozitīvi ietekmē sabiedrību, vidi un ekonomiku. Atklāta projektu iesniegumu atlase otrajā kārtā veicina publiskā atbalsta pārredzamību, jo to piešķir, pamatojoties uz iepriekš apstiprinātiem projektu iesniegumu vērtēšanas kritērijiem un nosacījumiem, kas iekļauti MK noteikumu projektā. Šo nosacījumu izpildi uzrauga ES fondu vadībā iesaistītās iestādes, veicinot sabiedrības un komersantu uzticību. Trešajā kārtā noteikta ierobežota atlase, ņemot vērā ierobežoto iesniedzēju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apgāde; notekūdeņu, atkritumu apsaimniekošana un sanācija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atsevišķu nozari – atkritumu apsaimniekošanu, veicinot labvēlīgus apstākļus atkritumu apsaimniekošanai AAR, kas ļautu tuvināties ES noteikto mērķu virzienā un veicinātu resursefektivitāti. Pasākuma otrajā un trešajā atlases kārtā pieejamais Kohēzijas fonda finansējums ir 45 030 000 </w:t>
      </w:r>
      <w:r w:rsidR="00000000" w:rsidRPr="00000000" w:rsidDel="00000000">
        <w:rPr>
          <w:i w:val="1"/>
          <w:rtl w:val="0"/>
        </w:rPr>
        <w:t xml:space="preserve">euro</w:t>
      </w:r>
      <w:r w:rsidR="00000000" w:rsidRPr="00000000" w:rsidDel="00000000">
        <w:rPr>
          <w:rtl w:val="0"/>
        </w:rPr>
        <w:t xml:space="preserve">, kas kopā ar komersantu līdzfinansējumu rada nozīmīgu pozitīvu ietekmi uz nozares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otrās atlases kārtas dalībniekiem, ievērojot arī īpašu atbalstu mazajiem un vidējiem uzņēmumiem maksimālo atbalsta likmju kontekstā, ko pieļauj regula Nr.651/2014. Tā kā atbalsts tiek sniegts saskaņā ar regulas Nr.651/2014 nosacījumiem, var uzskatīt, ka ieguldījumu atbalsts resursefektivitātei un apritīgumam ir saderīgs ar ES iekšējo tirgu, jo nodrošina godīgu konkurenci iekšējā tirgū un veicina ekonomikas izaugsmi, samazina administratīvo slogu un izmaksas. Trešajā atlases kārtā noteikta ierobežota atlase, ievērojot, ka ir zināmi visi potenciālie projektu iesniedzēji.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vērsts uz atkritumu apsaimniekošanas nozares komersantiem, tādā veidā pozitīvi ietekmējot uzņēmējdarbības vidi gan vispārīgi, gan specifiski tieši atkritumu apsaimniekošanas nozarē. Kohēzijas fonda finansējums var veicināt uzņēmējdarbības attīstību, sniedzot ieguldījumus modernās un efektīvās atkritumu apsaimniekošanas tehnoloģijās un pieejās. Tas stimulē uzņēmumu inovāciju un attīstību, kas var radīt jaunas iespējas un palielināt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labvēlīgus nosacījumus mazajiem un vidējiem uzņēmumiem, jo tiem saskaņā ar regulas Nr.651/2014 nosacījumiem iespējams piešķirt komercdarbības atbalstu ar paaugstinātām likmēm – mazajiem uzņēmumiem Kohēzijas fonda līdzfinansējums var sasniegt pat 75%, savukārt vidējiem uzņēmumiem – 65%.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otrās atlases kārtas dalībniekiem, ievērojot arī īpašu atbalstu mazajiem un vidējiem uzņēmumiem maksimālo atbalsta likmju kontekstā. Trešajā atlases kārtā finansējuma saņēmējs ir sabiedriskā pakalpojuma sniedzējs, kur tirgū nepastāv konkurence šī pakalpojuma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jauna infrastruktūras objekta izveide rada ~10 jaunas tiešās un netiešās darbavietas (tie ir gan iekārtu apkalpes speciālisti, gan tehniskā nodrošinājuma izpildītāji, specializēto transportlīdzekļu vadītāji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VARAM 2024. gada 16. janvārī sagatavotajām (apstiprinātas 2024. gada 28. maijā) budžeta izdevuma prognozēm ES fondu 2021. - 2027. gada plānošanas periodā (indikatīvi),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maksājumus finansējuma saņēmējiem 1 500 000 </w:t>
            </w:r>
            <w:r w:rsidR="00000000" w:rsidRPr="00000000" w:rsidDel="00000000">
              <w:rPr>
                <w:sz w:val="24"/>
                <w:i w:val="1"/>
                <w:rtl w:val="0"/>
              </w:rPr>
              <w:t xml:space="preserve">euro </w:t>
            </w:r>
            <w:r w:rsidR="00000000" w:rsidRPr="00000000" w:rsidDel="00000000">
              <w:rPr>
                <w:sz w:val="24"/>
                <w:rtl w:val="0"/>
              </w:rPr>
              <w:t xml:space="preserve">(2. kārta - 1 500 000 </w:t>
            </w:r>
            <w:r w:rsidR="00000000" w:rsidRPr="00000000" w:rsidDel="00000000">
              <w:rPr>
                <w:sz w:val="24"/>
                <w:i w:val="1"/>
                <w:rtl w:val="0"/>
              </w:rPr>
              <w:t xml:space="preserve">euro</w:t>
            </w:r>
            <w:r w:rsidR="00000000" w:rsidRPr="00000000" w:rsidDel="00000000">
              <w:rPr>
                <w:sz w:val="24"/>
                <w:rtl w:val="0"/>
              </w:rPr>
              <w:t xml:space="preserve">, 3. kārta 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maksājumus finansējuma saņēmējiem 8 000 000 </w:t>
            </w:r>
            <w:r w:rsidR="00000000" w:rsidRPr="00000000" w:rsidDel="00000000">
              <w:rPr>
                <w:sz w:val="24"/>
                <w:i w:val="1"/>
                <w:rtl w:val="0"/>
              </w:rPr>
              <w:t xml:space="preserve">euro</w:t>
            </w:r>
            <w:r w:rsidR="00000000" w:rsidRPr="00000000" w:rsidDel="00000000">
              <w:rPr>
                <w:sz w:val="24"/>
                <w:rtl w:val="0"/>
              </w:rPr>
              <w:t xml:space="preserve"> (2. kārta - 4 000 000 </w:t>
            </w:r>
            <w:r w:rsidR="00000000" w:rsidRPr="00000000" w:rsidDel="00000000">
              <w:rPr>
                <w:sz w:val="24"/>
                <w:i w:val="1"/>
                <w:rtl w:val="0"/>
              </w:rPr>
              <w:t xml:space="preserve">euro</w:t>
            </w:r>
            <w:r w:rsidR="00000000" w:rsidRPr="00000000" w:rsidDel="00000000">
              <w:rPr>
                <w:sz w:val="24"/>
                <w:rtl w:val="0"/>
              </w:rPr>
              <w:t xml:space="preserve">, 3. kārta 4 000 000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maksājumus finansējuma saņēmējiem 9 600 000 </w:t>
            </w:r>
            <w:r w:rsidR="00000000" w:rsidRPr="00000000" w:rsidDel="00000000">
              <w:rPr>
                <w:sz w:val="24"/>
                <w:i w:val="1"/>
                <w:rtl w:val="0"/>
              </w:rPr>
              <w:t xml:space="preserve">euro</w:t>
            </w:r>
            <w:r w:rsidR="00000000" w:rsidRPr="00000000" w:rsidDel="00000000">
              <w:rPr>
                <w:sz w:val="24"/>
                <w:rtl w:val="0"/>
              </w:rPr>
              <w:t xml:space="preserve"> (2. kārta - 4 800 000 </w:t>
            </w:r>
            <w:r w:rsidR="00000000" w:rsidRPr="00000000" w:rsidDel="00000000">
              <w:rPr>
                <w:sz w:val="24"/>
                <w:i w:val="1"/>
                <w:rtl w:val="0"/>
              </w:rPr>
              <w:t xml:space="preserve">euro</w:t>
            </w:r>
            <w:r w:rsidR="00000000" w:rsidRPr="00000000" w:rsidDel="00000000">
              <w:rPr>
                <w:sz w:val="24"/>
                <w:rtl w:val="0"/>
              </w:rPr>
              <w:t xml:space="preserve">, 3. kārta 4 800 000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maksājumus finansējuma saņēmējiem 10 200 000 </w:t>
            </w:r>
            <w:r w:rsidR="00000000" w:rsidRPr="00000000" w:rsidDel="00000000">
              <w:rPr>
                <w:sz w:val="24"/>
                <w:i w:val="1"/>
                <w:rtl w:val="0"/>
              </w:rPr>
              <w:t xml:space="preserve">euro</w:t>
            </w:r>
            <w:r w:rsidR="00000000" w:rsidRPr="00000000" w:rsidDel="00000000">
              <w:rPr>
                <w:sz w:val="24"/>
                <w:rtl w:val="0"/>
              </w:rPr>
              <w:t xml:space="preserve"> (2. kārta - 4 200 000 </w:t>
            </w:r>
            <w:r w:rsidR="00000000" w:rsidRPr="00000000" w:rsidDel="00000000">
              <w:rPr>
                <w:sz w:val="24"/>
                <w:i w:val="1"/>
                <w:rtl w:val="0"/>
              </w:rPr>
              <w:t xml:space="preserve">euro</w:t>
            </w:r>
            <w:r w:rsidR="00000000" w:rsidRPr="00000000" w:rsidDel="00000000">
              <w:rPr>
                <w:sz w:val="24"/>
                <w:rtl w:val="0"/>
              </w:rPr>
              <w:t xml:space="preserve">, 3. kārta 6 000 000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maksājumus finansējuma saņēmējiem 13 500 000 </w:t>
            </w:r>
            <w:r w:rsidR="00000000" w:rsidRPr="00000000" w:rsidDel="00000000">
              <w:rPr>
                <w:sz w:val="24"/>
                <w:i w:val="1"/>
                <w:rtl w:val="0"/>
              </w:rPr>
              <w:t xml:space="preserve">euro</w:t>
            </w:r>
            <w:r w:rsidR="00000000" w:rsidRPr="00000000" w:rsidDel="00000000">
              <w:rPr>
                <w:sz w:val="24"/>
                <w:rtl w:val="0"/>
              </w:rPr>
              <w:t xml:space="preserve"> (2. kārta - 5 500 000 </w:t>
            </w:r>
            <w:r w:rsidR="00000000" w:rsidRPr="00000000" w:rsidDel="00000000">
              <w:rPr>
                <w:sz w:val="24"/>
                <w:i w:val="1"/>
                <w:rtl w:val="0"/>
              </w:rPr>
              <w:t xml:space="preserve">euro</w:t>
            </w:r>
            <w:r w:rsidR="00000000" w:rsidRPr="00000000" w:rsidDel="00000000">
              <w:rPr>
                <w:sz w:val="24"/>
                <w:rtl w:val="0"/>
              </w:rPr>
              <w:t xml:space="preserve">, 3. kārta 8 000 000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maksājumus finansējuma saņēmējiem 2 230 000 </w:t>
            </w:r>
            <w:r w:rsidR="00000000" w:rsidRPr="00000000" w:rsidDel="00000000">
              <w:rPr>
                <w:sz w:val="24"/>
                <w:i w:val="1"/>
                <w:rtl w:val="0"/>
              </w:rPr>
              <w:t xml:space="preserve">euro</w:t>
            </w:r>
            <w:r w:rsidR="00000000" w:rsidRPr="00000000" w:rsidDel="00000000">
              <w:rPr>
                <w:sz w:val="24"/>
                <w:rtl w:val="0"/>
              </w:rPr>
              <w:t xml:space="preserve"> (2. kārta - 0 </w:t>
            </w:r>
            <w:r w:rsidR="00000000" w:rsidRPr="00000000" w:rsidDel="00000000">
              <w:rPr>
                <w:sz w:val="24"/>
                <w:i w:val="1"/>
                <w:rtl w:val="0"/>
              </w:rPr>
              <w:t xml:space="preserve">euro</w:t>
            </w:r>
            <w:r w:rsidR="00000000" w:rsidRPr="00000000" w:rsidDel="00000000">
              <w:rPr>
                <w:sz w:val="24"/>
                <w:rtl w:val="0"/>
              </w:rPr>
              <w:t xml:space="preserve">, 3. kārta 2 230 000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plānoti kā Kohēzijas fonda finansējuma atmaksas, savukārt izdevumi - projektā plānotais Kohēzijas fonda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Investīcijas plānotas zem šādiem intervences kodiem:</w:t>
            </w:r>
            <w:r w:rsidR="00000000" w:rsidRPr="00000000" w:rsidDel="00000000">
              <w:rPr>
                <w:sz w:val="24"/>
                <w:b w:val="1"/>
                <w:rtl w:val="0"/>
              </w:rPr>
              <w:t xml:space="preserve">67 - sadzīves atkritumu apsaimniekošana: rašanās novēršanas, apjoma samazināšanas, šķirošanas, atkārtotas izmantošanas, reciklēšanas pasākumi – KF 40 527 000 </w:t>
            </w:r>
            <w:r w:rsidR="00000000" w:rsidRPr="00000000" w:rsidDel="00000000">
              <w:rPr>
                <w:sz w:val="24"/>
                <w:b w:val="1"/>
                <w:i w:val="1"/>
                <w:rtl w:val="0"/>
              </w:rPr>
              <w:t xml:space="preserve">euro</w:t>
            </w:r>
            <w:r w:rsidR="00000000" w:rsidRPr="00000000" w:rsidDel="00000000">
              <w:rPr>
                <w:sz w:val="24"/>
                <w:b w:val="1"/>
                <w:rtl w:val="0"/>
              </w:rPr>
              <w:t xml:space="preserve"> (2. kārta - 18 000 000 </w:t>
            </w:r>
            <w:r w:rsidR="00000000" w:rsidRPr="00000000" w:rsidDel="00000000">
              <w:rPr>
                <w:sz w:val="24"/>
                <w:b w:val="1"/>
                <w:i w:val="1"/>
                <w:rtl w:val="0"/>
              </w:rPr>
              <w:t xml:space="preserve">euro</w:t>
            </w:r>
            <w:r w:rsidR="00000000" w:rsidRPr="00000000" w:rsidDel="00000000">
              <w:rPr>
                <w:sz w:val="24"/>
                <w:b w:val="1"/>
                <w:rtl w:val="0"/>
              </w:rPr>
              <w:t xml:space="preserve">, 3. kārta - 22 527 000 </w:t>
            </w:r>
            <w:r w:rsidR="00000000" w:rsidRPr="00000000" w:rsidDel="00000000">
              <w:rPr>
                <w:sz w:val="24"/>
                <w:b w:val="1"/>
                <w:i w:val="1"/>
                <w:rtl w:val="0"/>
              </w:rPr>
              <w:t xml:space="preserve">euro</w:t>
            </w:r>
            <w:r w:rsidR="00000000" w:rsidRPr="00000000" w:rsidDel="00000000">
              <w:rPr>
                <w:sz w:val="24"/>
                <w:b w:val="1"/>
                <w:rtl w:val="0"/>
              </w:rPr>
              <w:t xml:space="preserve">);</w:t>
            </w:r>
            <w:r w:rsidR="00000000" w:rsidRPr="00000000" w:rsidDel="00000000">
              <w:rPr>
                <w:sz w:val="24"/>
                <w:b w:val="1"/>
                <w:rtl w:val="0"/>
              </w:rPr>
              <w:t xml:space="preserve">69 - komerciālo, rūpniecisko atkritumu apsaimniekošana: rašanās novēršanas, apjoma samazināšanas, šķirošanas, atkārtotas izmantošanas, reciklēšanas pasākumi – KF 4 503 000 </w:t>
            </w:r>
            <w:r w:rsidR="00000000" w:rsidRPr="00000000" w:rsidDel="00000000">
              <w:rPr>
                <w:sz w:val="24"/>
                <w:b w:val="1"/>
                <w:i w:val="1"/>
                <w:rtl w:val="0"/>
              </w:rPr>
              <w:t xml:space="preserve"> euro </w:t>
            </w:r>
            <w:r w:rsidR="00000000" w:rsidRPr="00000000" w:rsidDel="00000000">
              <w:rPr>
                <w:sz w:val="24"/>
                <w:b w:val="1"/>
                <w:rtl w:val="0"/>
              </w:rPr>
              <w:t xml:space="preserve">(2. kārta - 2 000 000 </w:t>
            </w:r>
            <w:r w:rsidR="00000000" w:rsidRPr="00000000" w:rsidDel="00000000">
              <w:rPr>
                <w:sz w:val="24"/>
                <w:b w:val="1"/>
                <w:i w:val="1"/>
                <w:rtl w:val="0"/>
              </w:rPr>
              <w:t xml:space="preserve">euro</w:t>
            </w:r>
            <w:r w:rsidR="00000000" w:rsidRPr="00000000" w:rsidDel="00000000">
              <w:rPr>
                <w:sz w:val="24"/>
                <w:b w:val="1"/>
                <w:rtl w:val="0"/>
              </w:rPr>
              <w:t xml:space="preserve">, 3. kārta - 2 503 000 </w:t>
            </w:r>
            <w:r w:rsidR="00000000" w:rsidRPr="00000000" w:rsidDel="00000000">
              <w:rPr>
                <w:sz w:val="24"/>
                <w:b w:val="1"/>
                <w:i w:val="1"/>
                <w:rtl w:val="0"/>
              </w:rPr>
              <w:t xml:space="preserve">euro)</w:t>
            </w:r>
            <w:r w:rsidR="00000000" w:rsidRPr="00000000" w:rsidDel="00000000">
              <w:rPr>
                <w:sz w:val="24"/>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sadarbības iestādei ir pieejami valsts budžeta līdzekļi, tā, izvērtējot plānotā avansa apmēru un tā pamatojumu un pamatojoties uz finansējuma saņēmēja rakstisku avansa pieprasījumu, pēc civiltiesiskā līguma par projekta īstenošanu noslēgšanas var piešķirt finansējuma saņēmējam avansu. Finansējuma saņēmējs avansa pieprasījumu sagatavo un sadarbības iestāde to apstiprina, ņemot vērā, ka plānotā avansa apmērs un tā pamatojums atbilst finansējuma saņēmēja spējai to izlietot sešu mēnešu laikā. Finansējuma saņēmējam avansu var piešķirt līdz 30 % no projektam piešķirtā KF finansējuma.  Ieguldījumus plānots uzsākt 2024. gadā (maksājumus iesniedzot 2025. gadā) un turpināt līdz 2029.gada beigām, kas ir maksimālais termiņš  projektu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atbilstība starptautiskajām saistībām tiks noteikta pirms MK noteikumu projekta nodošanas sabiedrības līdzdalībai.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publiskā apspriede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darbības tieši ietekmē Nacionālā attīstības plāna rādītāju Nr.275 “Sadzīves atkritumu pārstrādes līmenis”, jo paredzēts, ka daļa projektu aptvers tieši sadzīves atkritumu pārstrādes iekārtu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izvirzīta prasība infrastruktūru izveidot saskaņā ar projekta īstenošanas vietai piekritīgo spēkā esošu pašvaldības teritorijas plānojumu atbilstoši teritorijas izmantošanas veidam.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 vides prasības, ko nodrošina gan prasība iegūt atbilstošu atļauju atkritumu apsaimniekošanai vai piesārņojošas darbības veikšanai, veikt ietekmes uz vidi novērtējumu vai sākotnējo izvērtējumu, kā arī horizontālā principa “Nenodarīt būtisku kaitējumu”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Otrajai un trēsajai atlases kārtai ir noteikta tieša ietekme attiecībā uz HP "Klimatdrošināšana", paredzot projekta iesniegumā vērtēt klimatiskās ietekmes faktorus, lai tiktu veidota tāda infrastruktūra, kas ir noturīga pret šo faktoru izpausmi. Tāpat kā obligātais projektu iesniegumu vērtēšanas kritērijs ir SEG emisiju ietaupījuma aprēķins.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jo tiek veicināta normatīviem aktiem atbilstoša atkritumu apsaimniekošana, ievērojot ierobežojumus, ko nosaka piesārņojošas darbības atļauja.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jāiekļauj vismaz viena vispārīga HP "Vienlīdzība, iekļaušana, nediskriminācija un pamattiesību ievērošana" darbība, kas attiecas uz publicitāti, personālu vai publiskajiem iepirkumiem. Projektā ieteicams iekļaut, piemēram, šādas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 ,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būt iekļautas arī citas vispārīgas darbības, kas izriet no projekta satura un paredz vienlīdzības, iekļaušanas, nediskriminācijas un pamattiesību ievērošanu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jānorāda projekta budžeta izmaksu pozīcijas, kuras veicina šo HP. Tā kā projekta vadības izmaksas sedz finansējuma saņēmējs, projekta iesniegumā nav nepieciešams norādīt informāciju par projekta vadības un īstenošanas personālu dalījumā pēc dzimuma u.c. pazīmes, kā arī nav nepieciešams skaidrot, kā projektu vadībā un īstenošanā tiks nodrošināta nediskriminācija pēc vecuma, dzimuma, etniskās piederības u.c.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informatīvos materiālus, finansējuma saņēmēji ir īpaši aicināti tos izstrādāt, ievērojot vides un informācijas piekļūstamības princips, proti, informācija būs piekļūstama personām ar funkcionāliem traucējumiem ar vairākiem sensorajiem kanāliem (redze, dzirde, tauste).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24-TA-1504</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24-TA-1504</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anotācija_(ex_ante)_24-TA-1504.docx</dc:title>
</cp:coreProperties>
</file>

<file path=docProps/custom.xml><?xml version="1.0" encoding="utf-8"?>
<Properties xmlns="http://schemas.openxmlformats.org/officeDocument/2006/custom-properties" xmlns:vt="http://schemas.openxmlformats.org/officeDocument/2006/docPropsVTypes"/>
</file>