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trešās kārtas īstenošanas noteikumi" (turpmāk – Noteikumi) izstrādāts pēc Ekonomikas ministrijas (turpmāk – atbildīgā iestāde) iniciatīvas un saskaņā ar Eiropas Savienības fondu 2021.–2027. gada plānošanas perioda vadības likuma 19. panta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mērķis ir finansējuma pieejamības nodrošināšana duāla pielietojuma jaunu produktu un tehnoloģiju izstrādei aizsardzības un drošības jomā, piesaistot Eiropas Reģionālās attīstības fonda (turpmāk – ERAF) finansējumu un privāto līdzfinansējumu.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2021. gada 16.novembra rīkojumu Nr.841 “Par Eiropas Savienības kohēzijas politikas programmu 2021.–2027. gadam” tika apstiprināta Eiropas Savienības kohēzijas politikas programma Latvijā 2021.–2027. gadam (turpmāk – ES fondu programma). Eiropas Savienības Ekonomikas un finanšu padomē 2022. gada 25. novembrī apstiprināts Komisijas Īstenošanas lēmums Nr. 2021LV16FFPR001 “ar ko programmu “Eiropas Savienības kohēzijas politikas programma 2021.–2027. gadam” apstiprina Eiropas Reģionālās attīstības fonda, Kohēzijas fonda, Eiropas Sociālā fonda Plus un Taisnīgas pārkārtošanās fonda atbalsta piešķiršanai saskaņā ar mērķi “Investīcijas nodarbinātībai un izaugsmei” Latvijā”, pieejams: https://www.esfondi.lv/guidelines_and_regulations_assets/2021_2027/es_kohezijas_politikas_prro/ek-lemums-par-programmu.zip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Eiropas Savienības kohēzijas politikas programmas 2021.–2027. gadam 1.2. prioritārā virziena “Produktivitāte, inovācijas un prasmes” 1.2.1. specifiskā atbalsta mērķa "Pētniecības un inovāciju kapacitātes stiprināšana un progresīvu tehnoloģiju ieviešana uzņēmumiem" 1.2.1.1. pasākuma “Atbalsts jaunu produktu attīstībai un internacionalizācijai” (turpmāk – 1.2.1.1. pasākums) plānotais finansējums ir 50 240 702 </w:t>
      </w:r>
      <w:r w:rsidR="00000000" w:rsidRPr="00000000" w:rsidDel="00000000">
        <w:rPr>
          <w:i w:val="1"/>
          <w:rtl w:val="0"/>
        </w:rPr>
        <w:t xml:space="preserve">euro</w:t>
      </w:r>
      <w:r w:rsidR="00000000" w:rsidRPr="00000000" w:rsidDel="00000000">
        <w:rPr>
          <w:rtl w:val="0"/>
        </w:rPr>
        <w:t xml:space="preserve">, kas iedalās šādās kārtās: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pirmā kārta – Pārvaldības programma (6 627 804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otrā kārta – Sadarbības tīklu programma (11 611 149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trešā kārta – Pētniecības atbalsta programma ar kopējo plānoto finansējumu 32 001 749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pasākuma “Atbalsts jaunu produktu attīstībai un internacionalizācijai” trešās kārtas (turpmāk – Pasākums) ietvaros, kas paredz veicināt produktivitātes paaugstināšanu un investīciju apjoma palielināšanu pētniecībā un attīstībā (turpmāk – P&amp;A).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Nacionālajās industriālās politikas pamatnostādnēs 2021. – 2027. gadam (apstiprinātas ar Ministru kabineta 2021. gada 16. februāra rīkojumu Nr. 93 “Par Nacionālās industriālās politikas pamatnostādnēm 2021.-2027. gadam”) viens no šķēršļiem Latvijas tautsaimniecības virzībai uz inovatīvu un zināšanu balstītu ekonomikas modeli ir zemais pētniecības un attīstības ieguldījumu apmērs kā valsts, tā arī uzņēmumu sektorā, kā arī pašu pētniecības un attīstības intensīvo nozaru zemais īpatsvars ekonomikā.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Centrālās statistikas pārvaldes datiem, Latvijā 2022. gadā pētniecībā un attīstībā kopumā bija investēti 291,72 milj. </w:t>
      </w:r>
      <w:r w:rsidR="00000000" w:rsidRPr="00000000" w:rsidDel="00000000">
        <w:rPr>
          <w:i w:val="1"/>
          <w:rtl w:val="0"/>
        </w:rPr>
        <w:t xml:space="preserve">euro </w:t>
      </w:r>
      <w:r w:rsidR="00000000" w:rsidRPr="00000000" w:rsidDel="00000000">
        <w:rPr>
          <w:rtl w:val="0"/>
        </w:rPr>
        <w:t xml:space="preserve">jeb 0,75% no iekšzemes kopprodukta (IKP), kas ir pēdējos desmit gados augstākais līmenis, tomēr tas joprojām ir zemāks nekā vidēji ES (2,27% no IKP), kā arī zemāks nekā Baltijas kaimiņvalstīs - Lietuvā kopējie ieguldījumi P&amp;A veido 1,02% no IKP, bet Igaunijā - 1,78% no IKP. Salīdzinot ar 2021. gadu, kopējās investīcijas P&amp;A Latvijā 2022. gadā palielinājās par 17,2%. Kopš 2017. gada ieguldījumu apjoms P&amp;A pret 2022. gadu pieauga 2.1 reizes. Pozitīva dinamika ir vērojama privātā sektora (uzņēmumu) ieguldījumiem P&amp;A. 2022. gadā uzņēmumu investīcijas P&amp;A bija 87,03 milj. </w:t>
      </w:r>
      <w:r w:rsidR="00000000" w:rsidRPr="00000000" w:rsidDel="00000000">
        <w:rPr>
          <w:i w:val="1"/>
          <w:rtl w:val="0"/>
        </w:rPr>
        <w:t xml:space="preserve">euro </w:t>
      </w:r>
      <w:r w:rsidR="00000000" w:rsidRPr="00000000" w:rsidDel="00000000">
        <w:rPr>
          <w:rtl w:val="0"/>
        </w:rPr>
        <w:t xml:space="preserve">apjomā jeb 29,8% no kopējiem ieguldījumiem P&amp;A.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vērojams ieguldījumu apjoma P&amp;A pieaugums, ir secināms, ka līdzšinējā ekonomiskā virzība nav devusi pietiekamu sniegumu, lai Latvija spētu nodrošināt vienlīdz ātru attīstības tempu kā Eiropas Savienības ekonomiski spēcīgākās valstis, kā arī COVID-19 radītie izaicinājumi ekonomisko situāciju ir būtiski ietekmējuši vadošo nozaru attīstību. Ņemot vērā minēto, lai veicinātu Latvijas komersantus inovētspēju, nepieciešams turpināt mērķtiecīgus ieguldījumus pētniecības attīstībā, tai skaitā viedās specializācijas jomu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fonda programmās iekļautās aktivitātes saskan ar Nacionālās industriālās politikas pamatnostādnēs 2021.-2027. gadam iekļautajiem uzdevumiem “Sekmēt privātā un publiskā sektora investīcijas pētniecībā, attīstībā un inovācijās”. Aktivitātes ietver izstrādāt inovatīvus, augstas pievienotās vērtības produktus, kā arī veicināt šo produktu eksportu, paaugstināt uzņēmējdarbības sektora pētniecības un attīstības izdevumu apjomu, veicināt sadarbību starp uzņēmējdarbības un pētniecības sektoriem, kā arī vecināt Latvijas uzņēmumu iesaisti starptautiskās tīklošanās platformās un starptautiskos pētniecības un attīstības projektos, izmantojot mērķtiecīgus valsts ieguldījumus.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ir vērsts uz 2023. gada 15. septembra deklarācijā “Deklarācija par Evikas Siliņas vadītā Ministru kabineta iecerēto darbību” dotā uzdevuma Nr. 23 īstenošanu – veidosim inovācijas ekosistēmu, cieši sadarbojoties publiskajam, privātajam, akadēmiskajam un nevalstiskajam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Latvijas tautsaimniecības transformāciju uz viedās specializācijas jomām, attīstītu ar tehnoloģijām un inovācijām saistītās konkurences priekšrocības un veicinātu Latvijas aizsardzības spējas duāla pielietojuma jaunu produktu un tehnoloģiju izstrādē aizsardzības un drošības jomā, Noteikumu ietvaros atbalstu plānots sniegt sīkajiem (mikro), mazajiem un vidējiem komersantiem (turpmāk – MVU), mazām vidējām kapitalizācijas sabiedrībām un vidējām kapitalizācijas sabiedrībām, pētniecības un zināšanu izplatīšanas organizācijām, kas attīsta produktus un tehnoloģijas viedās specializācijas jomās, kā arī lielajiem saimnieciskās darbības veicējiem ar nosacījumu, ja pētniecības un inovāciju (turpmāk - P&amp;I) aktivitāšu īstenošanai tiek piesaistīti MVU.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īstenošanas 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Pasākuma ietvaros izveidots atbalsta instruments pētniecības veicināšanai duāla pielietojuma jaunu produktu un tehnoloģiju izstrādei aizsardzības un 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Noteikumos norādītais kopējais finansējuma apmērs ir 32 001 749 </w:t>
      </w:r>
      <w:r w:rsidR="00000000" w:rsidRPr="00000000" w:rsidDel="00000000">
        <w:rPr>
          <w:i w:val="1"/>
          <w:rtl w:val="0"/>
        </w:rPr>
        <w:t xml:space="preserve">euro</w:t>
      </w:r>
      <w:r w:rsidR="00000000" w:rsidRPr="00000000" w:rsidDel="00000000">
        <w:rPr>
          <w:rtl w:val="0"/>
        </w:rPr>
        <w:t xml:space="preserve">, paredzot,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vienam finansējuma saņēmējam minimāli pieejamais finansējums ir ne mazāks kā 200 000 </w:t>
      </w:r>
      <w:r w:rsidR="00000000" w:rsidRPr="00000000" w:rsidDel="00000000">
        <w:rPr>
          <w:i w:val="1"/>
          <w:rtl w:val="0"/>
        </w:rPr>
        <w:t xml:space="preserve">euro </w:t>
      </w:r>
      <w:r w:rsidR="00000000" w:rsidRPr="00000000" w:rsidDel="00000000">
        <w:rPr>
          <w:rtl w:val="0"/>
        </w:rPr>
        <w:t xml:space="preserve">(ieskaitot) un maksimāli pieļaujamais finansējums ir 1 000 000 </w:t>
      </w:r>
      <w:r w:rsidR="00000000" w:rsidRPr="00000000" w:rsidDel="00000000">
        <w:rPr>
          <w:i w:val="1"/>
          <w:rtl w:val="0"/>
        </w:rPr>
        <w:t xml:space="preserve">euro</w:t>
      </w:r>
      <w:r w:rsidR="00000000" w:rsidRPr="00000000" w:rsidDel="00000000">
        <w:rPr>
          <w:rtl w:val="0"/>
        </w:rPr>
        <w:t xml:space="preserve">; Maksimāli pieļaujamais finansējums jaunajiem komersantiem ir 300 000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atbalsts finansējuma saņēmējam tiek sniegt granta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Pasākuma ietvaros Centrālā finanšu un līgumu aģentūra (turpmāk - sadarbības iestāde) rīko atklātu projektu iesniegumu atlasi, izsludinot atlasi par visu pasākumam pieejamo finansējumu, kurā finansējuma saņēmējs piesakās atbalsta saņemšanai. Sadarbības iestāde pēc projekta iesnieguma saņemšanas veic vērtēšanu un lemj par atbalsta piešķiršanu, apstiprināšanas gadījumā slēdzot līgumu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projektu atlases un līguma par projekta īstenošanu noslēgšanas notiek projekta īstenošana un sadarbības iestāde veic projekta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pieejams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plānots sniegt vismaz 40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jaunradīti un izstrādāti 40 jauni produkti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komersantu apgrozījuma pieaugums pētniecības projekta noslēgšanas gadā pret pētniecības projekta uzsākšanas gadu – 40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komersantu eksporta pieaugums pētniecības projekta noslēgšanas gadā pret pētniecības projekta uzsākšanas gadu – 30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izveidotas 50 jaunas darba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piesaistītais privāto investīciju apmērs vismaz 15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Aprēķini veikti, balstoties uz atbildīgās iestādes aplēsēm.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 Vispārīgie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īstenošanas un uzraudzības kārtību atbalsta sniegšanai pētniecības veicināšanai duāla pielietojuma jaunu produktu un tehnoloģiju izstrādei aizsardzības un drošības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pētniecības projektu īstenošanai kopējais pieejamais finansējums ir 32 001 749 </w:t>
      </w:r>
      <w:r w:rsidR="00000000" w:rsidRPr="00000000" w:rsidDel="00000000">
        <w:rPr>
          <w:i w:val="1"/>
          <w:rtl w:val="0"/>
        </w:rPr>
        <w:t xml:space="preserve">euro </w:t>
      </w:r>
      <w:r w:rsidR="00000000" w:rsidRPr="00000000" w:rsidDel="00000000">
        <w:rPr>
          <w:rtl w:val="0"/>
        </w:rPr>
        <w:t xml:space="preserve">kopā ar elastības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ietvaros finansējuma saņēmējs ir komersants, kas atbilst Noteikumu 14. 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mērķa grupa ir komersanti, kas atbilst sīkā (mikro), mazā un vidējā komersanta statusam, mazās vidējas kapitalizācijas sabiedrības, pētniecības un zināšanu izplatīšanas organizācijas (tās iesaistot pētnieciskā projekta ietvaros), kā arī vidējās kapitalizācijas sabiedrības un lielie saimnieciskās darbības veicēji ar nosacījumu, ja pētniecības un inovāciju aktivitāšu īstenošanai tiek piesaistīti sīkie (mikro), mazie un vidējie komersanti.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saimnieciskās darbības veicēji ir motivēti sadarboties ar sīkajiem (mikro), mazajiem un vidējiem komersantiem pētniecības un inovāciju pasākumos, lai piesaistītu specializētās zināšanas, piekļūtu nišas inovācijām un veicinātu strauju attīstību. Vienlaikus, sadarbība var uzlabot arī tirgus konkurētspēju un izmantot papildu finansējuma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paredz, ka atbalsts tiek sniegts grantu veidā pētniecības aktivitātēm saskaņā ar Komisijas 2014. gada 17. jūnija Regulas Nr. 651/2014, ar ko noteiktas atbalsta kategorijas atzīst par saderīgām ar iekšējo tirgu, piemērojot Līguma 107. un 108. pantu (turpmāk - Komisijas regula Nr. 651/2014) 25. panta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pasākuma ietvaros tiek sniegts projekta iesniedzējam, kas plāno darbības vienā vai vairākās Viedās specializācijas stratēģijas (turpmāk – RIS3)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zināšanu ietilpīga bioekonomika;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biomedicīna, medicīnas tehnoloģijas, farmācija;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fotonika un viedie materiāli, tehnoloģijas un inženiersistēmas;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viedā enerģētika un mobilitāte;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informācijas un komunikācijas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ar duāla pielietojuma produktiem un tehnoloģijām saprotami produkti un tehnoloģijas, kas izmantojamas gan militārajām, gan civilajām vajadzībām. Kā piemēram, biomedicīnas, medicīnas tehnoloģiju, farmācijas RIS3 jomā - biotehnoloģija vakcīnu izstrādei vai medicīniskās skeneru tehnoloģijas; fotonikas un viedo materiālu, tehnoloģiju un inženiersistēmu RIS3 jomā - nanomateriāli vai uz fotoniku balstīti sensori; informācijas un komunikācijas tehnoloģiju RIS3 jomā - šifrēšanas programmatūra vai bezpilota lidaparāti; viedās enerģētikas un mobilitātes RIS3 jomā - enerģijas uzglabāšanas sistēmas vai enerģijas pārvaldības programmatūras; zināšanu ietilpīgas bioekonomikas RIS3 jomā - pārtikas konservēšanas tehnoloģijas vai ūdens apsaimniekošana/attīrīšana.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Sasniedzamie rādītāji</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278"/>
        <w:gridCol w:w="2128"/>
        <w:gridCol w:w="2424"/>
        <w:gridCol w:w="2225"/>
        <w:tblGridChange w:id="0">
          <w:tblGrid>
            <w:gridCol w:w="2278"/>
            <w:gridCol w:w="2128"/>
            <w:gridCol w:w="2424"/>
            <w:gridCol w:w="222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1.2.1.1. pasākuma pirmā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1.2.1.1. pasākuma otrā kārta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1.2.1.1. pasākuma trešā kārta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Līdz 2024. gada 31. decembrim:</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Iznākuma rādītāji:</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atbalstītie uzņēmumi (tai skaitā: mikrouzņēmumi, mazi, vidēji un lieli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nefinansiālu atbalstu saņēmušie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Līdz 2029. gada 31. decembrim:</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Iznākuma rādītāji:</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atbalstītie uzņēmumi (tai skaitā: mikrouzņēmumi, mazi, vidēji un lieli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nefinansiālu atbalstu saņēmušie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ar grantiem atbalstīto uzņēmumu skaits, tai skaitā mikrouzņēmumi, mazi, vidēji un lieli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Rezultāta rādītājs - </w:t>
            </w:r>
            <w:r w:rsidR="00000000" w:rsidRPr="00000000" w:rsidDel="00000000">
              <w:rPr>
                <w:sz w:val="24"/>
                <w:i w:val="1"/>
                <w:rtl w:val="0"/>
              </w:rPr>
              <w:t xml:space="preserve">publisko atbalstu papildinošo privāto investīciju apjoms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1 725 843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13 468 724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Privāto investīciju apjoms tiks noteikts pēc Kohēzijas politikas fondu vadības informācijas sistēmā pieejamās informācijas(apstiprinātie noslēguma maksājuma pieprasījumi). Vienlaikus, rādītājs uzskaitē netiks iekļauta neattiecināmo projekta izmaksu daļa, ieskaitot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programmā 2021.–2027. gadam noteiktas ERAF finansējuma sadalījums pa intervences kodiem, atbilstoši Noteikumos paredzētajām atbalstāmajām darbībām, ir šāds: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- 9.intervences kods (mikrouzņēmumu pētniecības un inovācijas darbības, tostarp tīklošana (rūpnieciskā pētniecība, eksperimentālā izstrāde, priekšizpēte);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- 10.intervences kods (MVU pētniecības un inovācijas darbības, tostarp tīklošana);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- 11.intervences kods (lielo uzņēmumu pētniecības un inovācijas darbības, tostarp tīklošana);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- 12.intervences kods (valsts pētniecības centru, augstākās izglītības un kompetences centru pētniecības un inovācijas darbības, tostarp tīklošana (rūpnieciskā pētniecība, eksperimentālā izstrāde, priekšizpēte).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starp intervences kategorijām ir arī indikatīvs finansējuma sadalījums starp šīs programmas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II Prasības projekta iesniedzējam un projekta 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iesniedzēji projektu iesniegumus publiskā finansējuma saņemšanai iesniedz Kohēzijas politikas fondu vadības informācijas sistēmā (turpmāk – vadības informācijas sistēma) un projekta iesniegums tiek aizpildīts vadības informācijas sistēmā tam paredzētos datu laukos.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finansējuma saņēmējam, nosakot komercdarbības atbalsta nosacījumus, vērtē: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atbalsta piešķiršanas brīdī uz projekta iesniedzēju attiecināms kāds no Eiropas Savienības fondu 2021.-2027. gada plānošanas perioda vadības likuma 22. pantā noteiktajiem izslēgšanas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komersants atbilst sīkā (mikro), mazā, vidējā saimnieciskās darbības subjekta komersanta statusam vai lielā saimnieciskās darbības subjekta komersanta statusam, ja pētniecības un inovāciju aktivitāšu īstenošanai tiek piesaistīti sīkie (mikro), mazie un vidējie komersanti. Sadarbības iestāde vērtē uz brīdi, kad sadarbības iestāde pieņem lēmumu par finansējuma saņēmēja atbilstību komercdarbības atbalsta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tā mēneša vidējā bruto darba samaksa darbiniekiem, nav mazāka par mēneša vidējās bruto darba samaksas apmēru tautsaimniecībā iepriekšējā gadā, prasība nav attiecināma uz jauniem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tā apgrozījums vidēji pēdējo trīs gadu laikā līdz projekta iesnieguma iesniegšanai vadības informācijas sistēmā ir vismaz divas reizes lielāks kā projekta plānotais publiskais finansējums, prasība nav attiecināma uz jauniem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projekta iesniedzējam saskaņā ar publiski pieejamo informāciju Valsts ieņēmumu dienesta administrēto nodokļu (nodevu) parādnieku datubāzē nav nodokļu vai nodevu parādu,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tiks ievērotas stimulējošās ietekmes prasības, atbilstoši Komisijas regulas Nr. 651/2014 6.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projekta iesniedzējam piemērojams grūtībās nonākušu uzņēmumu statuss, saskaņā ar Komisijas regulas Nr. 651/2014 2. panta 18. punktu. Grūtībās nonākuša uzņēmuma statusu sadarbības iestāde vērtē uz komercdarbības atbalsta piešķiršana brīdi. Izvērtējums tiek veikts uz projekta iesnieguma iesniegšanas dienu un lēmuma par projekta iesnieguma apstiprināšanas dienu vai atzinuma par nosacījumu izpildi pieņemšanas dienu, ja ir bijis pieņemts lēmums par projekta iesnieguma apstiprināšanu ar nosacījumu;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uz projekta iesniedzēju neattiecas līdzekļu atgūšanas rīkojums, kas minēts Komisijas regulas Nr. 651/2014 1. panta 4. punkta "a"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tā maksimālais atbalsta slieksnis nepārsniedz Komisijas regulas 651/2014 4. pantā noteiktos robežlielumus;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projekta iesniedzējs atbilst Starptautisko un Latvijas Republikas nacionālo sankciju likuma 11.</w:t>
      </w:r>
      <w:r w:rsidR="00000000" w:rsidRPr="00000000" w:rsidDel="00000000">
        <w:rPr>
          <w:vertAlign w:val="superscript"/>
          <w:rtl w:val="0"/>
        </w:rPr>
        <w:t xml:space="preserve">2</w:t>
      </w:r>
      <w:r w:rsidR="00000000" w:rsidRPr="00000000" w:rsidDel="00000000">
        <w:rPr>
          <w:rtl w:val="0"/>
        </w:rPr>
        <w:t xml:space="preserve"> panta pirmajā daļā noteiktajām pazīmēm;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iesniedzējs nesadarbojas un neveic produktu un tehnoloģiju eksportu uz Krieviju un Baltkrieviju.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papildus projekta iesniegumam iesniedz: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budžetā norādīto izmaksu aprēķina atšifrējumu, kas pamato plānoto izmaksu apmēru, tai skaitā informāciju par veiktajām tirgus aptaujām, statistikas datiem, pieredzi līdzīgos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apliecinājumu, kas apliecina komersanta statusu, ja projekta iesniedzējs ir komersants, kurš atbilst mazas vidējas kapitalizācijas sabiedrības vai vidējās kapitalizācijas sabiedrības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apliecinājumu, ka projekta iesniedzējs piekrīt, ka par to iegūtā informācija saskaņā ar šo noteikumu 57. un 58. punktu tiek izmantota analītikas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kuri atbilst mazas vidējas kapitalizācijas sabiedrības vai vidējās kapitalizācijas sabiedrības statusam, lai apliecinātu kapitalizācijas sabiedrības statusu, pirms projekta iesnieguma iesniegšanas vadības informācijas sistēmā nodrošina pašdeklarēšanās principu. Atbilstoši Noteikumu 37. punktam, mazajām vidējām kapitalizācijas sabiedrībām un vidējām kapitalizācijas sabiedrībām tiek piemērota lielā komersanta atbalsta intensitāte.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vairākiem projektu iesniegumiem ir piešķirts vienāds punktu skaits, tad prioritāri ir atbalstāms projekta iesniegums, kas saņēmis lielāku punktu skaitu kvalitātes kritērijā “Projektā paredzētā jaunā produkta, pakalpojuma un tehnoloģijas atbilstība aizsardzības jomas vajadzībām definētajām inovāciju un tehnoloģiju attīstības prioritātēm”, ja arī pēc šī kritērija projektu iesniegumi saņem vienādu vērtējumu, tad prioritāri atbalstāms ir projekta iesniegums, kura juridiskā adrese ir no Latvijas statistiskā reģiona ar zemāko iekšzemes kopproduktu, secīgi sarindojot projektu iesniegumus pēc Latvijas statistisko reģionu iekšzemes kopprodukta apjoma, atbilstoši Centrālās statistikas pārvaldes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projektu iesniegumu vērtēšanas komisijā iekļauj atbildīgās iestādes un Aizsardzības ministrijas vai tās nozīmētas iestādes pārstāvi.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projektu iesniegumu vērtēšanas komisijā vērtē projekta iesnieguma atbilstību valsts atbalsta normām, t. sk. pārbauda projekta iesniedzēja finanšu, administrēšanas un īstenošanas kapacitāti, projekta mērķu, uzraudzības rādītāju, sagaidāmos rezultātu, finansējuma apmēra un intensitātes un attiecināmo izmaksu atbilstību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iestādes pārstāvis projektu iesniegumu vērtēšanas komisijā vērtē projekta atbilstību MK noteikumu mērķim, tostarp plānoto darbību atbilstību RIS3 jomām, kā arī Noteikumu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vai tās norīkotas iestādes pārstāvis projektu iesniegumu vērtēšanas komisijā vērtē vai projekts paredz izstrādāt inovatīvu duālas nozīmes jeb divējāda (civila un militāra) lietojuma jaunu produktu vai tehnoloģiju, kas ir aktuāls un nepieciešams aizsardzības un drošības jomā un atbilst aizsardzības jomas vajadzībām definētajām inovāciju un tehnoloģiju attīstības prioritātēm. Vienlaikus, pārliecinoties par projekta atbilstību Komisijas regulas Nr. 651/2014 25. panta nosacījumiem, t.sk. projekta Tehnoloģiju gatavības līmeni un pētniecības kategoriju, kā arī vai projekta rezultātā tiks izstrādāts prototips un projekta zinātnisko kvalitāti, t.sk. izcilību, ietekmi un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kādā no pasākuma norises posmiem nepieciešams piesaistīt ekspertu kādu specifisku jautājumu izvērtēšanā, eksperta piesaistes izmaksas tiek segtas no Atbildīgās iestādes kā 1.2.1.1. pasākuma pirmās kārtas finansējuma saņēmējam piešķirtā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7. novembra sēdes protokollēmuma (prot.Nr. 56, 32. §.) 7.punktā dotajam uzdevumam (23-UZ-585), atbildīgā iestāde izvērtēja kādus kritērijus noteikt, lai nodrošinātu, ka ar Eiropas Savienības Kohēzijas politikas programmas 1.2.1. specifiskā atbalsta mērķa pasākumiem atbalstītajos uzņēmumos tiek panākta eksporta apjomu palielināšana par 10% un produktivitātes kāpums (ar produktivitātes kāpumu saprotams darba algu kāpums) par 10%. Atbildīgā iestāde ir secinājusi, ka pasākuma ietvaros noteiktie kritēriji (piem., apgrozījuma apjoms salīdzinājumā ar plānoto publiskā finansējuma apjomu, vidējā darba samaksa) ir pietiekami, lai sasniegtu uzdevumā noteikto mērķi - sniegt atbalstu eksportspējīgiem uzņēmumiem, lai veicinātu eksporta apjoma palielināšanos un produktivitātes kāpumu.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atbildīgā iestāde eksporta un produktivitātes datu analīzi veiks atbilstoši Centrālās statistikas pārvaldes datiem, tādējādi mazinot administratīvo slogu (nepieprasot datus sniegt atbalsta saņēmējiem), atbilstoši "Valdības rīcības plānā Deklarācijas par Evikas Siliņas vadītā Ministru kabineta iecerēto darbību īstenošanai" (23-TA-2869) 35.4.pasākumam. Atbildīgā iestāde veiks datu analīzi, reizi gadā pārbaudot atbalstīto uzņēmumu eksporta apjoma palielināšanos un produktivitātes kāpumu trīs gadu periodā pēc sadarbības tīkla noslēguma maksājuma pieprasījuma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III Finansējuma saņēmēja atbalstāmo darbību attiecināmības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pētniecības projektiem tiek piešķirts duāla pielietojuma jaunu, inovatīvu produktu izstrādei un attīstībai, atbalstot tos projektus, kas atbilst 4.-8. tehnoloģiju gatavības līmeņiem.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par atbalstāmām darbībām, ko finansējuma saņēmējs veic projekta ietvaros, uzskata tādas darbības, kas atbilst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rūpnieciskajiem pētījumiem atbilstoši Komisijas regulas Nr. 651/2014 2. panta 85.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eksperimentālajām izstrādēm atbilstoši Komisijas regulas Nr. 651/2014 2. panta 86.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tehniski ekonomiskajai priekšizpētei pētniecības projektiem, kuru kopsumma pārsniedz 250 000 </w:t>
      </w:r>
      <w:r w:rsidR="00000000" w:rsidRPr="00000000" w:rsidDel="00000000">
        <w:rPr>
          <w:i w:val="1"/>
          <w:rtl w:val="0"/>
        </w:rPr>
        <w:t xml:space="preserve">euro</w:t>
      </w:r>
      <w:r w:rsidR="00000000" w:rsidRPr="00000000" w:rsidDel="00000000">
        <w:rPr>
          <w:rtl w:val="0"/>
        </w:rPr>
        <w:t xml:space="preserve">, atbilstoši Komisijas regulas Nr. 651/2014 2. panta 87.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projekta veikšanai nepieciešamo privāto līdzfinansējumu nevar ieguldīt natūrā.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ietekmes uz horizontālajiem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“Nenodarīt būtisku kaitējumu”.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IV Finansējuma saņēmēja izmaksu attiecināmības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tiek segtas atbilstoši Komisijas regulas Nr. 651/2014 normām. Lēmumi par atbalsta piešķiršanu saskaņā ar Komisijas regulu Nr. 651/2014 netiek pieņemti pēc minētās regulas spēka zaudēšanas.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ir attiecināmas Noteikumu 27. punktā minētās izmaksas, kas radušās pēc pētniecības projekta iesnieguma iesniegšanas vadības informācijas sistēmā. Papildus izmaksas tiek norādītas privātā līdzfinansējuma daļā un netiek pārbaudītas no sadarbība iestādes puses. Iepriekšminētās izmaksas attiecināmas uz noslēgtajiem saimnieciskās darbības līgumiem pirms pētniecības projekta sākuma, ko iespējams attiecināt no privātā līdzfinansējuma daļas. Ņemot vērā, ka sadarbība iestādes pienākums ir pārliecināties par publiskā finansējuma izlietojumu, tad privātā finansējuma daļas pārbaude nav sadarbība iestādes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Pētniecības aktivitāšu veikšana dažādās jomās ir specifiska un nepieciešams ievērot drošības apsvērumus. Noteikumos iekļautās attiecināmās izmaksas attiecībā uz dzīvības apdrošināšanu iekļauta, lai nodrošinātu pētniecības aktivitāšu veicēju dzīvības vai veselības aspektu aizsargāšanu. Ņemot vērā, ka pētniecības projektus plānots veikt darbības, kas saistītas ar duāla pielietojuma produktu izstrādi, metālapstrādi un ķīmiskajiem savienojumiem.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īpašumā esošo instrumentu, iekārtu un to aprīkojuma izmaksas un to amortizācijas izmaksas, finanšu nomā iegādāto iekārtu amortizācijas izmaksas, ciktāl tos izmanto pētniecības vai tehniski ekonomiskās priekšizpētes darbībām, atbilstoši Komisijas regulas Nr. 651/2014 25. panta 3. punkta "b" apakšpunktam, patentu un licenču izmaksas un to amortizācijas izmaksas, ciktāl tos izmanto pētniecības projektā, atbilstoši Komisijas regulas Nr. 651/2014 25. panta 3. punkta "d” apakšpunktam un finansējuma saņēmēja īpašumā esošo ēku amortizācijas izmaksas un zemes komerciālās nodošanas izmaksas vai faktiski veikto kapitālieguldījumu izmaksas atbilstoši Komisijas regulas Nr. 651/2014 25. panta 3. punkta "c" apakšpunktam. Izmaksas par ēkām iespējams attiecināt no konkrētas daļas. Iekārtu amortizācijai piemēro tādu pašu nolietojuma aprēķināšanas metodi kā nomnieka īpašumā esošajiem pamatlīdzekļiem. Amortizācijas izmaksas iekārtām, kas iegādātas finanšu nomā, nevar būt lielākas par veikto nomas maksājumu par pamatlīdzekļa iegādi. Netiek segtas telpu, instrumentu, iekārtu un to aprīkojuma, patentu un licenču amortizācijas izmaksas, ja to iegādei vai izveidei jau ir ticis saņemts komercdarbības atbalsts no valsts, pašvaldības, Eiropas Savienības vai citiem publiskajiem līdzekļiem šā vai cita atbalsta pasākuma vai projekta ietvaros. Ja laiks, kamēr telpas, instrumentus, iekārtas, patentus un licences izmanto pētniecībā, neaptver visu attiecīgo telpu, instrumentu, iekārtu, patentu un licenču lietderīgās lietošanas laiku, par attiecināmajām izmaksām uzskata tikai tādas amortizācijas izmaksas, kas atbilst projekta termiņam.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tiek ievērotas juridiskās tehnikas prasības, kur tiesību normai ir jābūt skaidrai, lai tās lietotājs un piemērotājs gūtu nepārprotamu priekšstatu par normā ietvertajiem pienākumiem un tiesībām un, lai mazinātu izmaksu attiecināmības interpretācijas iespējas un potenciālos riskus, kur finansējuma saņēmējs projekta attiecināmajās izmaksās iekļauj izmaksu pozīcijas, kas nav attiecināmas, Noteikumos daļēji tiek pārrakstītas Komisijas regulas Nr. 651/2014 25. panta vienības.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iespējams palielināt finansējuma intensitāti, atbilstoši Noteikumu 38. un 39. punktam. Noteikumu 40.1. apakšpunktā minētā efektīva sadarbība var tikt veidota, arī īstenojot projektu kopā ar Eiropas Savienības dronu koalīcijas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ietvaros finansējuma saņēmējs preču piegādātāja vai pakalpojuma sniedzēja izvēlei piemēro Ministru kabineta 2017. gada 28. februāra noteikumu Nr. 104 "Noteikumi par iepirkuma procedūru un tās piemērošanas kārtību pasūtītāja finansētiem projektiem" noteikto kārtību, pārliecinoties, ka līdzfinansēto preču un pakalpojumu izmaksas atbilst tirgus cenai un nepastāv interešu konflikts piegādātāja vai pakalpojumu sniedzēja izvēlē.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ietvaros komandējuma izmaksas attiecināmas saskaņā ar Ministru kabineta 2010. gada 12. oktobra noteikumiem Nr.969 “Kārtība, kādā atlīdzināmi ar komandējumiem saistītie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ietvaros projektiem minimālais attiecināmo izmaksu apmērs noteikts ne mazāk kā 200 tūkst. EUR (ieskaitot), neizpildās obligāta Eiropas Parlamenta un Padomes 2021. gada 24. jūnija Regulas (ES) Nr. 2021/1060 53. panta 2. punkta prasību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veikusi vienotās likmes aprēķinu personāla atlīdzības izmaksām, atbilstoši Eiropas Savienības 2014. - 2020. gada plānošanas perioda Darbības programmas "Izaugsme un nodarbinātība" 1.2.1. specifiskā atbalsta mērķa "Palielināt privātā sektora investīcijas P&amp;A" 1.2.1.1. pasākuma "Atbalsts jaunu produktu un tehnoloģiju izstrādei kompetences centru ietvaros" otrās un ceturtās projektu iesniegumu atlases kārtas ietvaros īstenotajiem pētniecības projektiem. Pētniecības projektu īstenotāju sniegtā informācija liecina, ka izmaksu sadalījums pētniecības aktivitātēm ir ļoti atšķirīgs, atkarībā no jomas un pētniecības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vienotās likmes piemērošana nav iespējama, ņemot vērā, ka ir atšķirīgi finansējuma saņēmēji ar dažādu juridisko statusu, atšķirīgām algas politikām, kā arī atbalsta ieviešana katram finansējuma saņēmēja atšķiras un nav pieejami statistikas dati aprēķinu veikšanai, jo šāda programma iepriekš nav ieviesta. Atbildīgā iestāde projekta īstenošanas fāzē, uzkrājoties datiem, izvērtēs iespējas piemērot vienkāršotās izmaksas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 Projekta īstenošanas un finansējuma saņemšanas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Pasākuma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atbalsts tiek sniegts tādām projekta iesnieguma darbībām, kas tiek uzsāktas pēc projekta iesnieguma iesniegšanas dienas vadības informācijas sistēmā, ko vērtē sadarbības iestāde, atbildīgā iestāde un Aizsardzības ministrija. Izmaksas ir attiecināmas no projekta iesnieguma iesniegšanas dienas vadības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izmaksas var attiecināt līdz 2029. gada 31. decembrim. Pasākuma ietvaros Noteikumu 10. punktā minētie rādītāji sasniedzami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Maksājuma pieprasījumā iekļauj tikai tādus projekta izdevumus, kuri ir faktiski izlietoti projektā. Finansējuma saņēmēja noslēgtajā līgumā par projekta īstenošanu ar sadarbības iestādi tiek atrunātas minimālās prasības un biežums attiecībā uz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informācijas un publicitātes pasākumus saskaņā ar Eiropas Savienības fondu 2021.–2027. gada plānošanas perioda un Atveseļošanas fonda komunikācijas un dizaina vadlīnijām: https://www.esfondi.lv/normativie-akti-un-dokumenti/2021-2027-planosanas-periods/komunikacijas-un-dizaina-vadlinijas.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pieejamību un datu uzglabāšanu finansējuma saņēmējs nodrošina 10 gadus, sākot no komercdarbības atbalsta piešķiršanas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Komisijas regulas Nr.651/2014 1.panta 4.punkta un 2.panta 18.punkta un 4. panta nosacījumi ir jāpiemēro uzņēmuma grupas līmenī, attiecīgi ar terminu "komersants" tiek saprasts, ka komersants tiek vērtēts uzņēmumu grupas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Pušu tiesības un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projekta īstenošanā ārpakalpojumā var iesaistīt arī sadarbības partnerus, piemēram, pētnieciskajam projektam nepieciešamo zinātnisko personālu vai citus.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Atbildīgai iestādei ir tiesības pieprasīt informāciju saistībā ar finansējuma saņēmēja veikto projektu, kas var būt noderīga ekonomiskās politikas veidošanai un papildinošu atbalsta instrumentu izveidošanai. Atbildīgā iestāde var lūgt iesniegt informāciju par projekta rezultāta komercializēšanas rezultātiem, uzņēmuma attīstības virzieniem, finansējuma saņēmēja ietekmi uz RIS3 stratēģijām un citu informāciju. Iegūtā informācija palīdzēs veikt nepieciešamās izmaiņas atbalsta pasākumos, kas vērsti uz tautsaimniecības transformāciju. Finansējuma saņēmējam ir tiesības, to atbilstoši pamatojot, neizsniegt datus, kuru iegūšana nav pamatojama ar ekonomiskās politikas īstenošanas vai uzraudzības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iestādei ir tiesības vienpusēji atkāpties no līguma par projekta īstenošanu saskaņā ar Ministru kabineta 2023. gada 13. jūlija noteikumos Nr. 408 "Kārtība, kādā Eiropas Savienības fondu vadībā iesaistītās institūcijas nodrošina šo fondu ieviešanu 2021.–2027. gada plānošanas periodā", jebkurā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finansējuma saņēmējs nepilda līgumā par projekta īstenošanu noteiktās prasības, tai skaitā netiek ievēroti projektā noteiktie termiņi vai ir iestājušies citi apstākļi, kas negatīvi ietekmē vai var ietekmēt projekta mērķi vai komercdarbības atbalsta mērķa uzraudzības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saņēmējs projekta īstenošanas laikā apzināti ir sniedzis sadarbības iestādei nepatiesu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to paredz līgums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Interešu konflikta novēršana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projekta īstenošanas laikā ir atbildīgs par interešu konflikta neesību, un, ja nepieciešams, tas izstrādā iekšējo kārtību, kādā interešu konflikta risks tiek uzraudzīts, kā arī finansējuma saņēmējam ir pienākums novērst vai labot identificētos riskus vai konstatētos interešu konfliktus saskaņā Komisijas regulas Nr. 2018/1046 61.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izstrādā nosacījumus, kā tas pārliecinās par interešu konflikta,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Dubultais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projekta īstenošanas finanšu plūsmas un darbību veidu skaidru nodalīšanu no citu finansējuma saņēmēja darbību finanšu plūsmām un darbību veidiem, tai skaitā novēršot dubultā finansējuma neiestāšanos un pārklāšanos ar citiem valsts un ārvalstu atbalsta instrumentiem. Iesniedzot projekta iesniegumu, finansējuma saņēmējs iekļauj visu informāciju dubultā finansējuma riska pārbaudei vismaz šādos atbalsta instrumentos: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ES fondu 2014. – 2020. gada plānošanas perioda Darbības programmas "Izaugsme un nodarbinātība" 1.2.1. specifiskā atbalsta mērķa "Palielināt privātā sektora investīcijas P&amp;A" 1.2.1.1. pasākuma "Atbalsts jaunu produktu un tehnoloģiju izstrādei kompetences centru ietvaros" pirmās, otrās un ceturtās projektu iesniegumu atlases kārtas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Latvijas Atveseļošanas un noturības mehānisma plāna 5.1.r. reformu un investīciju virziena "Produktivitātes paaugstināšana caur investīciju apjoma palielināšanu P&amp;A" 5.1.1.r. reformas "Inovāciju pārvaldība un privāto P&amp;A investīciju motivācija" 5.1.1.2.i. investīcijas " Atbalsta instruments pētniecībai un internacionalizācijai" kārtu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“Latvijas Atveseļošanas un noturības mehānisma plāna 2.2. reformu un investīciju virziena "Uzņēmumu digitālā transformācija un inovācijas" 2.2.1.3.i. investīcijas "Atbalsts jaunu produktu un pakalpojumu ieviešanai uzņēmējdarbībā"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"Kārtība, kādā Aizsardzības ministrija īsteno projektu konkursus militāru vai divējāda lietojuma produktu attīstības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VI Ar komercdarbības atbalsta saņemšanu saistītie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Datums, kad sadarbības iestāde pieņēmusi lēmumu par komercdarbības atbalsta piešķiršanu finansējuma saņēmējam, uzskatāms par komercdarbības atbalsta piešķiršanas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Komercdarbības atbalsts, kas sniegts finansējuma saņēmējam saskaņā ar Komisijas regulu Nr. 651/2014, tiek piešķirts ar sadarbības iestādes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Komisijas regulas Nr. 651/2014 nosacījumi, finansējuma saņēmējam ir pienākums atmaksāt sadarbības iestādei projekta ietvaros saņemto nelikumīgo komercdarbības atbalstu no līdzekļiem, kas ir brīvi no komercdarbības atbalsta, kopā ar procentiem atbilstoši Komercdarbības atbalsta kontroles likuma IV vai V nodaļas nosacījumiem. Procenti ir aprēķināmi no dienas, kad nelikumīgais atbalsts pirmo reizi nodots finansējuma saņēmējam, līdz tā atgūšanas dienai.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pēc Noteikumu apstiprināšanas Ministru kabinetā 20 darba dienu laikā iesniedz ar Finanšu ministriju saskaņotu paziņojumu Eiropas Komisijas platformā "SANI2".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izvērtē projekta iesniedzēju pēc Fondu vadības likuma 22. pantā noteiktajiem izslēgšanas nosacījumiem. Izslēgšanas nosacījumu kontrole tiek veikta, tostarp pārbaudot attiecīgās personas sodāmību Iekšlietu ministrijas Informācijas centra pārziņā esošajā valsts informācijas sistēmā “Sodu reģistrs” saskaņā ar zemāk norādītajām normām. Sadarbības iestāde nodrošina komersanta pārbaudi. Informāciju par Fondu vadības likuma 22. panta pirmās daļas 2. punktā noteiktajiem izslēgšanas nosacījumiem pārbauda Valsts ieņēmumu dienestā (turpmāk – VID) un Valsts darba inspekcijā. Informācija attiecībā uz konkurences tiesību pārkāpumu izņēmumu gadījumu, kad attiecīgā institūcija, konstatējot konkurences tiesību pārkāpumu, par sadarbību iecietības programmas ietvaros projekta iesniedzēju ir atbrīvojusi no naudas soda vai naudas sodu samazinājusi, ir publiski pieejama un pārbaudāma Konkurences padomes tīmekļvietnē sadaļā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61"/>
        <w:gridCol w:w="3085"/>
        <w:gridCol w:w="2843"/>
        <w:tblGridChange w:id="0">
          <w:tblGrid>
            <w:gridCol w:w="3261"/>
            <w:gridCol w:w="3085"/>
            <w:gridCol w:w="284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Personas dalības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norma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Pārbaudāmā persona, pārbaudāmās personas valdes vai padomes loceklis, prokūrists vai persona, kura ir pilnvarota pārstāvēt pārbaudāmo personu darbībās, kas saistītas ar filiāli</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1</w:t>
            </w:r>
            <w:r w:rsidR="00000000" w:rsidRPr="00000000" w:rsidDel="00000000">
              <w:rPr>
                <w:sz w:val="24"/>
                <w:rtl w:val="0"/>
              </w:rPr>
              <w:t xml:space="preserve"> pants. Terorisms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2</w:t>
            </w:r>
            <w:r w:rsidR="00000000" w:rsidRPr="00000000" w:rsidDel="00000000">
              <w:rPr>
                <w:sz w:val="24"/>
                <w:rtl w:val="0"/>
              </w:rPr>
              <w:t xml:space="preserve"> pants. Terorisma finansēšana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3</w:t>
            </w:r>
            <w:r w:rsidR="00000000" w:rsidRPr="00000000" w:rsidDel="00000000">
              <w:rPr>
                <w:sz w:val="24"/>
                <w:rtl w:val="0"/>
              </w:rPr>
              <w:t xml:space="preserve">  pants. Teroristu grupa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4</w:t>
            </w:r>
            <w:r w:rsidR="00000000" w:rsidRPr="00000000" w:rsidDel="00000000">
              <w:rPr>
                <w:sz w:val="24"/>
                <w:rtl w:val="0"/>
              </w:rPr>
              <w:t xml:space="preserve"> pants. Personas vervēšana, apmācīšana un apmācīšanās terorismam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5</w:t>
            </w:r>
            <w:r w:rsidR="00000000" w:rsidRPr="00000000" w:rsidDel="00000000">
              <w:rPr>
                <w:sz w:val="24"/>
                <w:rtl w:val="0"/>
              </w:rPr>
              <w:t xml:space="preserve"> pants. Ceļošana terorisma nolūkā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6</w:t>
            </w:r>
            <w:r w:rsidR="00000000" w:rsidRPr="00000000" w:rsidDel="00000000">
              <w:rPr>
                <w:sz w:val="24"/>
                <w:rtl w:val="0"/>
              </w:rPr>
              <w:t xml:space="preserve"> pants. Terorisma attaisnošana, aicinājums uz terorismu un terorisma draudi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w:t>
            </w:r>
            <w:r w:rsidR="00000000" w:rsidRPr="00000000" w:rsidDel="00000000">
              <w:rPr>
                <w:sz w:val="24"/>
                <w:vertAlign w:val="superscript"/>
                <w:rtl w:val="0"/>
              </w:rPr>
              <w:t xml:space="preserve">1</w:t>
            </w:r>
            <w:r w:rsidR="00000000" w:rsidRPr="00000000" w:rsidDel="00000000">
              <w:rPr>
                <w:sz w:val="24"/>
                <w:rtl w:val="0"/>
              </w:rPr>
              <w:t xml:space="preserve"> pants. Noziedzīga organizācija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154.</w:t>
            </w:r>
            <w:r w:rsidR="00000000" w:rsidRPr="00000000" w:rsidDel="00000000">
              <w:rPr>
                <w:sz w:val="24"/>
                <w:vertAlign w:val="superscript"/>
                <w:rtl w:val="0"/>
              </w:rPr>
              <w:t xml:space="preserve">1</w:t>
            </w:r>
            <w:r w:rsidR="00000000" w:rsidRPr="00000000" w:rsidDel="00000000">
              <w:rPr>
                <w:sz w:val="24"/>
                <w:rtl w:val="0"/>
              </w:rPr>
              <w:t xml:space="preserve"> pants. Cilvēku tirdzniecība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 pants. Krāpšana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179. pants. Piesavināšanās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184.pants trešā daļa. Izspiešana organizētā grupā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195. pants. Noziedzīgi iegūtu līdzekļu legalizēšana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 pants. Neatļauta labumu pieņemšana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 pants. Komerciālā uzpirkšana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218. pants. Izvairīšanās no nodokļiem un tiem pielīdzināto maksājumu nomaksas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320. pants. Kukuļņemšana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 pants. Kukuļa piesavināšanās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322. pants Starpniecība kukuļošanā (ja kriminālprocess ierosināts līdz Krimināllikuma grozījumu stāšanās spēkā, t.i. 2022. gada 4. maijam)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323. pants. Kukuļdošana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1</w:t>
            </w:r>
            <w:r w:rsidR="00000000" w:rsidRPr="00000000" w:rsidDel="00000000">
              <w:rPr>
                <w:sz w:val="24"/>
                <w:rtl w:val="0"/>
              </w:rPr>
              <w:t xml:space="preserve"> pants. Tirgošanās ar ietekmi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2</w:t>
            </w:r>
            <w:r w:rsidR="00000000" w:rsidRPr="00000000" w:rsidDel="00000000">
              <w:rPr>
                <w:sz w:val="24"/>
                <w:rtl w:val="0"/>
              </w:rPr>
              <w:t xml:space="preserve"> pants. Prettiesiska labumu pieprasīšana un pieņemšana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3 </w:t>
            </w:r>
            <w:r w:rsidR="00000000" w:rsidRPr="00000000" w:rsidDel="00000000">
              <w:rPr>
                <w:sz w:val="24"/>
                <w:rtl w:val="0"/>
              </w:rPr>
              <w:t xml:space="preserve">pants. Prettiesiska labumu došana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nodokļiem un nodevām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142.panta otrā daļa. Informatīvo deklarāciju iesniegšanas termiņu neievērošanu</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Pārbaudāmā 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pirmā daļa (tostarp jebkurš no minētās daļas punktiem), ja par vertikālo vienošanos, kuras mērķis ir ierobežot pircēja iespēju noteikt tālākpārdošanas cenu, vai horizontālā karteļa vienošanos kā izslēgšanas pamatu no iepirkuma procedūras Sodu reģistrā ir norādījusi Konkurences padome</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Imigrācijas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w:t>
            </w:r>
            <w:r w:rsidR="00000000" w:rsidRPr="00000000" w:rsidDel="00000000">
              <w:rPr>
                <w:sz w:val="24"/>
                <w:vertAlign w:val="superscript"/>
                <w:rtl w:val="0"/>
              </w:rPr>
              <w:t xml:space="preserve">4</w:t>
            </w:r>
            <w:r w:rsidR="00000000" w:rsidRPr="00000000" w:rsidDel="00000000">
              <w:rPr>
                <w:sz w:val="24"/>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Par vienas vai vairāku personu  nodarbināšanu, ja attiecīgā persona ir tiesīga uzturēties Latvijas Republikā, bet tai nav piešķirtas tiesības uz nodarbinātību un to nepieciešamību nosaka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Par vairāk nekā piecu personu nodarbināšanu, ja tās ir tiesīgas uzturēties Latvijas Republikā, bet tām nav piešķirtas tiesības uz nodarbinātību un to nepieciešamību nosaka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Par vienas vai vairāku tādu personu (līdz piecām personām) nodarbināšanu, kuras nav tiesīgas uzturēties Latvijas Republikā.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158. pants. Darba līguma nenoslēgšana rakstveida formā</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rezultātu izvērtēšanai atbildīgā iestāde izstrādā un ar sadarbības iestādi un Aizsardzības ministriju saskaņo izvērtējuma standartformas. Sadarbības iestāde veic izmaksu samērīguma, ekonomiskās pamatotības, iepirkumu un citus izvērtējumus, lai pārliecinātos par attiecināmo izmaksu atbilstību Noteikumiem. Vienlaikus, Aizsardzības ministrija vai tās norīkota iestāde atbilstoši izstrādātajām izvērtējuma standartformām veic projekta gala rezultātu zinātniskās kvalitātes izvērtējumu ievērojot Noteikumu 56. punktā iekļautās prasības. Gala rezultātu kvalitātes izvērtējums tiek izmantots lēmuma pieņemšanā par projekta mērķu un plānoto rezultātu sasniegšanu.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ievērotu ESF 2014.-2020.gada plānošanas periodā sniegtos auditoru ieteikumus, kā arī nodrošinātu ātrāku atbalstu komersantiem, ņemot vērā, ka Atveseļošanas un noturības mehānisma plāna ietvaros šobrīd komersantiem jau ir pieejams atbalsts pie apstiprinātajiem finansējuma saņēmējiem, līdzšinējā divpakāpju līmeņa atbalsta pieeja mainīta uz atbalsta shēmu, ar kuru sadarbības iestāde atbalstu pa tiešo piešķir komersantiem, kas paši īsteno pētniecības aktivitātes.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(komersants, kas reģistrēts Latvijas Republikas Komercreģistrā)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radīs pozitīvu ietekmi sīkajiem (tai skaitā mikro), mazajiem, vidējiem un lieliem uzņēmumiem, nodrošinot valsts atbalsta saņemšanas iespējas, kas nepieciešamas pētniecības, inovāciju un attīstības aktivitāšu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Komersants, kas reģistrēts Latvijas Republikas Komercreģistrā, pildīs finansējuma saņēmēja funkcijas, un Ekonomikas ministrija pildīs atbildīgās iestādes funkcijas.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radīs pozitīvu ietekmi sīkajiem (tai skaitā mikro), mazajiem, vidējiem un lieliem uzņēmumiem, nodrošinot valsts atbalsta saņemšanas iespējas, kas nepieciešamas pētniecības, inovāciju un attīstības aktivitāšu veikšanai. Noteikumu projekta ietvaros plānotie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plānots sniegt vismaz 40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jaunradīti un izstrādāti 40 jauni produkti, pakalpojumi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komersantu apgrozījuma pieaugums pētniecības projekta noslēgšanas gadā pret pētniecības projekta uzsākšanas gadu – 40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komersantu eksporta pieaugums pētniecības projekta noslēgšanas gadā pret pētniecības projekta uzsākšanas gadu – 30 milj.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izveidotas 50 jaunas darba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piesaistītais privāto investīciju apmērs vismaz 15 milj. euro.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pasākuma trešās kārtas ietvaros tiks nodrošināts atbalsts Latvijas sīkajiem (tai skaitā mikro), mazajiem, vidējiem un lieliem uzņēmumiem pētniecības, inovāciju un attīstības aktivitāšu veikšanai, tādējādi stiprinot to konkurētspēju gan vietējā, gan ārvalstu tirgū. Atbalss stiprinās Latvijas uzņēmumus, kas veic saimniecisko aktivitāti šādās viedās specializācijas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Zināšanu ietilpīga bioekonomika;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Biomedicīna, medicīnas tehnoloģijas, farmācija;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Fotonika un viedie materiāli, tehnoloģijas un inženiersistēmas;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Viedā enerģētika un mobilitāte;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Informācijas un komunikācijas tehnoloģijas.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radīs pozitīvu ietekmi sīkajiem (tai skaitā mikro), mazajiem, vidējiem un lieliem uzņēmumiem, nodrošinot valsts atbalsta saņemšanas iespējas, kas nepieciešamas pētniecības, inovāciju un attīstības aktivitāšu veikšanai. 1.2.1.1.pasākuma trešās kārtas ietvaros sīkajiem (mikro), mazajiem, vidējiem un lielajiem komersantiem, t.sk. kapitālsabiedrībām un pētniecības un zināšanu izplatīšanas organizācijām ir iespējams atbalstīt jaunus pētniecības projektus balstoties uz noteikumu ieviešanas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prognozēts, ka 1.2.1.1. pasākuma trešās kārtas ietvaros tiks atbalstīti vismaz 40 komersantiem, jaunradīti un izstrādāti 40 jauni produkti, pakalpojumi vai tehnoloģijas, tiks novērots komersantu apgrozījuma pieaugums pētniecības projekta noslēgšanas gadā pret pētniecības projekta uzsākšanas gadu – 40 milj. euro, kā arī komersantu eksporta pieaugums pētniecības projekta noslēgšanas gadā pret pētniecības projekta uzsākšanas gadu – 30 milj. euro, izveidotas 50 jaunas darba vietas, piesaistītais privāto investīciju apmērs vismaz 15 milj. euro.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radīs pozitīvu ietekmi sīkajiem (tai skaitā mikro), mazajiem, vidējiem un lieliem uzņēmumiem, nodrošinot valsts atbalsta saņemšanas iespējas, kas nepieciešamas pētniecības, inovāciju un attīstības aktivitāšu veikšanai. Tiek prognozēts, ka 1.2.1.1. pasākuma trešās kārtas ietvaros tiks atbalstīti vismaz 40 komersantiem, jaunradīti un izstrādāti 40 jauni produkti, pakalpojumi vai tehnoloģijas, tiks novērots komersantu apgrozījuma pieaugums pētniecības projekta noslēgšanas gadā pret pētniecības projekta uzsākšanas gadu – 40 milj. euro, kā arī komersantu eksporta pieaugums pētniecības projekta noslēgšanas gadā pret pētniecības projekta uzsākšanas gadu – 30 milj. euro, izveidotas 50 jaunas darba vietas, piesaistītais privāto investīciju apmērs vismaz 15 milj. euro.</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radīs pozitīvu ietekmi sīkajiem (tai skaitā mikro), mazajiem, vidējiem un lieliem uzņēmumiem, nodrošinot valsts atbalsta saņemšanas iespējas, kas nepieciešamas pētniecības, inovāciju un attīstības aktivitāšu veikšanai. Komersantiem projekta ietvaros būs iespējas izveidot jaunas darba vietas un saņemt par tām atbalstu, lai nodrošinātu jaunu produktu laišanu tirgū, tā būs pozitīva ietekme uz nodarbinātību. Tiek prognozēts, ka 1.2.1.1.pasākuma trešās kārtas ietvaros tiks izveidotas 50 jaunas darba vietas, nodrošinot zinātības pratību izplatīšanu Latvijas uzņēmumos.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8 569,60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Projekta iesniedzējs (komersants, kas reģistrēts Latvijas Republikas Komercreģistrā)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26,78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komersanti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8 569,60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Aprēķins attiecas uz projekta iesniedzējiem, kas iesniedz projekta iesniegumu sadarbības iestādē (CFLA). Administratīvo izmaksu pamatojumam tiek ņemti vērā CSP 2022.gada dati "Vidējā neto darba samaksa" - 26,78  euro/stundā.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8 569,60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2 272 970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6 419 963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7 076 657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7 291 016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2 272 970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6 419 963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7 076 657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7 291 016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2 674 082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7 552 898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8 325 479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8 577 666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2 674 082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7 552 898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8 325 479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8 577 666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-401 112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-1 132 935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-1 248 822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-1 286 650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-401 112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-1 132 935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-1 248 822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-1 286 650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-401 112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-1 132 935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-1 248 822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-1 286 650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-401 112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-1 132 935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-1 248 822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-1 286 650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1.2.1.1. pasākuma trešās kārtas ietvaros plānotais kopējais attiecināmais finansējums ir 32 001 749 </w:t>
            </w:r>
            <w:r w:rsidR="00000000" w:rsidRPr="00000000" w:rsidDel="00000000">
              <w:rPr>
                <w:sz w:val="24"/>
                <w:i w:val="1"/>
                <w:rtl w:val="0"/>
              </w:rPr>
              <w:t xml:space="preserve">euro</w:t>
            </w:r>
            <w:r w:rsidR="00000000" w:rsidRPr="00000000" w:rsidDel="00000000">
              <w:rPr>
                <w:sz w:val="24"/>
                <w:rtl w:val="0"/>
              </w:rPr>
              <w:t xml:space="preserve">, (tai skaitā elastības finansējuma apjoms 5 047 485 </w:t>
            </w:r>
            <w:r w:rsidR="00000000" w:rsidRPr="00000000" w:rsidDel="00000000">
              <w:rPr>
                <w:sz w:val="24"/>
                <w:i w:val="1"/>
                <w:rtl w:val="0"/>
              </w:rPr>
              <w:t xml:space="preserve">euro</w:t>
            </w:r>
            <w:r w:rsidR="00000000" w:rsidRPr="00000000" w:rsidDel="00000000">
              <w:rPr>
                <w:sz w:val="24"/>
                <w:rtl w:val="0"/>
              </w:rPr>
              <w:t xml:space="preserve">), tai skaitā ERAF finansējums 27 201 486 </w:t>
            </w:r>
            <w:r w:rsidR="00000000" w:rsidRPr="00000000" w:rsidDel="00000000">
              <w:rPr>
                <w:sz w:val="24"/>
                <w:i w:val="1"/>
                <w:rtl w:val="0"/>
              </w:rPr>
              <w:t xml:space="preserve">euro </w:t>
            </w:r>
            <w:r w:rsidR="00000000" w:rsidRPr="00000000" w:rsidDel="00000000">
              <w:rPr>
                <w:sz w:val="24"/>
                <w:rtl w:val="0"/>
              </w:rPr>
              <w:t xml:space="preserve">(tai skaitā elastības finansējuma apjoms 4 290 363 </w:t>
            </w:r>
            <w:r w:rsidR="00000000" w:rsidRPr="00000000" w:rsidDel="00000000">
              <w:rPr>
                <w:sz w:val="24"/>
                <w:i w:val="1"/>
                <w:rtl w:val="0"/>
              </w:rPr>
              <w:t xml:space="preserve">euro</w:t>
            </w:r>
            <w:r w:rsidR="00000000" w:rsidRPr="00000000" w:rsidDel="00000000">
              <w:rPr>
                <w:sz w:val="24"/>
                <w:rtl w:val="0"/>
              </w:rPr>
              <w:t xml:space="preserve">) un valsts budžeta līdzfinansējums 4 800 263 </w:t>
            </w:r>
            <w:r w:rsidR="00000000" w:rsidRPr="00000000" w:rsidDel="00000000">
              <w:rPr>
                <w:sz w:val="24"/>
                <w:i w:val="1"/>
                <w:rtl w:val="0"/>
              </w:rPr>
              <w:t xml:space="preserve">euro</w:t>
            </w:r>
            <w:r w:rsidR="00000000" w:rsidRPr="00000000" w:rsidDel="00000000">
              <w:rPr>
                <w:sz w:val="24"/>
                <w:rtl w:val="0"/>
              </w:rPr>
              <w:t xml:space="preserve">, (tai skaitā elastības finansējuma apjoms 757 122 </w:t>
            </w:r>
            <w:r w:rsidR="00000000" w:rsidRPr="00000000" w:rsidDel="00000000">
              <w:rPr>
                <w:sz w:val="24"/>
                <w:i w:val="1"/>
                <w:rtl w:val="0"/>
              </w:rPr>
              <w:t xml:space="preserve">euro</w:t>
            </w:r>
            <w:r w:rsidR="00000000" w:rsidRPr="00000000" w:rsidDel="00000000">
              <w:rPr>
                <w:sz w:val="24"/>
                <w:rtl w:val="0"/>
              </w:rPr>
              <w:t xml:space="preserve">). Maksimālais attiecināmais ERAF finansējuma apmērs nepārsniedz 85 %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iesniegumos pasākuma īstenošanai kopējo pasākuma pieejamo finansējumu plāno ne vairāk kā 26 954 264 </w:t>
            </w:r>
            <w:r w:rsidR="00000000" w:rsidRPr="00000000" w:rsidDel="00000000">
              <w:rPr>
                <w:sz w:val="24"/>
                <w:i w:val="1"/>
                <w:rtl w:val="0"/>
              </w:rPr>
              <w:t xml:space="preserve">euro</w:t>
            </w:r>
            <w:r w:rsidR="00000000" w:rsidRPr="00000000" w:rsidDel="00000000">
              <w:rPr>
                <w:sz w:val="24"/>
                <w:rtl w:val="0"/>
              </w:rPr>
              <w:t xml:space="preserve">, tai skaitā ERAF finansējums 22 911 123 </w:t>
            </w:r>
            <w:r w:rsidR="00000000" w:rsidRPr="00000000" w:rsidDel="00000000">
              <w:rPr>
                <w:sz w:val="24"/>
                <w:i w:val="1"/>
                <w:rtl w:val="0"/>
              </w:rPr>
              <w:t xml:space="preserve">euro</w:t>
            </w:r>
            <w:r w:rsidR="00000000" w:rsidRPr="00000000" w:rsidDel="00000000">
              <w:rPr>
                <w:sz w:val="24"/>
                <w:rtl w:val="0"/>
              </w:rPr>
              <w:t xml:space="preserve">, valsts budžeta finansējums 4 043 141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kopējā finansējuma (32 001 749 </w:t>
            </w:r>
            <w:r w:rsidR="00000000" w:rsidRPr="00000000" w:rsidDel="00000000">
              <w:rPr>
                <w:sz w:val="24"/>
                <w:i w:val="1"/>
                <w:rtl w:val="0"/>
              </w:rPr>
              <w:t xml:space="preserve">euro</w:t>
            </w:r>
            <w:r w:rsidR="00000000" w:rsidRPr="00000000" w:rsidDel="00000000">
              <w:rPr>
                <w:sz w:val="24"/>
                <w:rtl w:val="0"/>
              </w:rPr>
              <w:t xml:space="preserve">) izlietojums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 – 2 674 082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 – 7 552 898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 8 325 479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 – 8 577 666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 – 3 200 173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 - 1 671 451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līdzfinansējums palielina publiskā finansējuma apjomu, kā rezultātā lielāks atbalsta apjoms vairāk sekmēs tautsaimniecības attīstību. Vienlaikus, ņemot vērā plānoto kopējo finansējuma apjomu ir noteikti Politikas programmas rezultatīvie un iznākuma rādītāji, kā arī plānota atbalsta pieejamība.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Finanšu ministrija pieprasīs finansējuma pārdali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panta (turpmāk - Komisijas regula Nr. 651/2014)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32015R1017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2015. gada 25. jūnija Regula (ES) 2015/1017 par Eiropas Stratēģisko investīciju fondu, Eiropas Investīciju konsultāciju centru un Eiropas Investīciju projektu portālu, ar ko groza Regulas (ES) Nr. 1291/2013 un (ES) Nr. 1316/2013 – Eiropas Stratēģisko investīciju fonds (turpmāk - Regula Nr. 2015/1017)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panta (turpmāk - Komisijas regula Nr. 651/2014)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2.panta 24.punkts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2.panta 83.punkts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2.panta 85.punkts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2.panta 86.punkts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2.panta 87.punkts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651/2014 1. panta 2. punkta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25.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27.1., 27.2. un 27.3.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25. panta 3.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27.6., 27.7. un 27.9.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25. panta 3.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27.5. un 27.9.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25. panta 3.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27.8., 27.9. un 27.3.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25. panta 3. 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27.4., 27.10., 27.11. 27.13. un 27.14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25. panta 5. punkta  "b", "c", "d" apakšpunkts, 6. punkta "a" apakšpunkts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651/2014 25. panta 6.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25. 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 un 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2.panta 23.punkts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25. panta 5.punkta "b", "c" un "d" apakšpunkts, 6. punkta "a", "b" un "d" apakšpunkts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1.panta 4.punkta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9.panta 1.un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58.panta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darba dienu laikā pēc noteikumu spēkā stāšanās Ekonomikas ministrija, izmantojot SANI2 sistēmu, iesniegs kopsavilkuma informāciju par programmu Eiropas Komisijai.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2018/1046 33.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2018/1046 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46.7. apakšpunkts un 55.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2015. gada 25. jūnija Regula (ES) 2015/1017 par Eiropas Stratēģisko investīciju fondu, Eiropas Investīciju konsultāciju centru un Eiropas Investīciju projektu portālu, ar ko groza Regulas (ES) Nr. 1291/2013 un (ES) Nr. 1316/2013 – Eiropas Stratēģisko investīciju fonds (turpmāk - Regula Nr. 2015/1017)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2015/1017 2.panta 6. un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27.12. un 46.5.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Tiesību aktu portāla no 24.05.2024 līdz 07.06.2024.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tiek paredzēta datu apmaiņa starp sadarbības iestādi un citām iesaistītajām valsts institūcijām, piemēram, Valsts ieņēmumu dienestu par nodokļu parādu vai Iekšlietu ministrijas Informācijas centru par datu apmaiņu valsts informācijas sistēmā “Sodu reģistrs” esošo informāciju, tādējādi neradot papildu administratīvo slogu komersantiem.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1.2.1.1.pasākuma trešo kārtu tiks sekmēta viena no Nacionālā attīstības plāna mērķu izpildēm: Uzņēmumu izaugsme un konkurētspēja ir balstīta spējā uz zinātnes bāzes radīt un pārdot pieprasītus, zināšanu ietilpīgus produktus un pakalpojumus, iekļaujoties arvien augstākas pievienotās vērtības globālajās ķēdēs. Viedā specializācija, inovācija, tehnoloģiju attīstība un modernizācija, kā arī mērķtiecīgi ieguldījumi cilvēkkapitālā ir pamats produktivitātes kāpumam.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atbalsta pasākumi tiks īstenoti, ievērojot nediskriminācijas principus.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vadlīnijām horizontālā principa “Vienlīdzība, iekļaušana, nediskriminācija un pamattiesību ievērošana” īstenošanai un uzraudzībai (2021-2027), pasākumam nav ietekmes uz HP VINPI. Lai  nodrošinātu, ka projektu īstenošanā tiek veicināta vienlīdzība, iekļaušana, nediskriminācija un  ievērotas  pamattiesības, projekta projektu iesniegumu vērtēšanā tiks piemērots HP VINPI specifiskais atbilstības kritērijs. Kritērijā tiks vērtēts, vai projekta iesniegumā ir paredzēta vismaz viena specifiskā HP VINPI darbība, kas attiecas uz publicitāti, personālu vai publiskajiem iepirkumiem.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23-TA-2014</w:t>
    </w:r>
    <w:r>
      <w:br/>
    </w:r>
    <w:r w:rsidR="00000000" w:rsidRPr="00000000" w:rsidDel="00000000">
      <w:rPr>
        <w:rtl w:val="0"/>
      </w:rPr>
      <w:t xml:space="preserve">Izdrukāts 29.07.2026. 23.33 - 9.0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23-TA-2014</w:t>
    </w:r>
    <w:r>
      <w:br/>
    </w:r>
    <w:r w:rsidR="00000000" w:rsidRPr="00000000" w:rsidDel="00000000">
      <w:rPr>
        <w:rtl w:val="0"/>
      </w:rPr>
      <w:t xml:space="preserve">Izdrukāts 29.07.2026. 23.33 - 9.0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anotācija_(ex_ante)_23-TA-2014.docx</dc:title>
</cp:coreProperties>
</file>

<file path=docProps/custom.xml><?xml version="1.0" encoding="utf-8"?>
<Properties xmlns="http://schemas.openxmlformats.org/officeDocument/2006/custom-properties" xmlns:vt="http://schemas.openxmlformats.org/officeDocument/2006/docPropsVTypes"/>
</file>