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93EB1E1" w14:textId="77777777" w:rsidR="0063421B"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63421B" w14:paraId="58394BDB" w14:textId="77777777">
        <w:tc>
          <w:tcPr>
            <w:tcW w:w="750" w:type="dxa"/>
            <w:shd w:val="clear" w:color="auto" w:fill="FFFFFF"/>
            <w:noWrap/>
            <w:tcMar>
              <w:top w:w="75" w:type="dxa"/>
              <w:left w:w="75" w:type="dxa"/>
              <w:bottom w:w="75" w:type="dxa"/>
              <w:right w:w="75" w:type="dxa"/>
            </w:tcMar>
            <w:vAlign w:val="center"/>
          </w:tcPr>
          <w:p w14:paraId="053ACEB2" w14:textId="77777777" w:rsidR="0063421B" w:rsidRDefault="00000000">
            <w:pPr>
              <w:jc w:val="center"/>
            </w:pPr>
            <w:r>
              <w:rPr>
                <w:b/>
              </w:rPr>
              <w:t>Nr.p.k.</w:t>
            </w:r>
          </w:p>
        </w:tc>
        <w:tc>
          <w:tcPr>
            <w:tcW w:w="4155" w:type="dxa"/>
            <w:shd w:val="clear" w:color="auto" w:fill="FFFFFF"/>
            <w:noWrap/>
            <w:tcMar>
              <w:top w:w="75" w:type="dxa"/>
              <w:left w:w="75" w:type="dxa"/>
              <w:bottom w:w="75" w:type="dxa"/>
              <w:right w:w="75" w:type="dxa"/>
            </w:tcMar>
            <w:vAlign w:val="center"/>
          </w:tcPr>
          <w:p w14:paraId="3C1840DB" w14:textId="77777777" w:rsidR="0063421B"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97CE243" w14:textId="77777777" w:rsidR="0063421B"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1700C982" w14:textId="77777777" w:rsidR="0063421B"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143F374D" w14:textId="77777777" w:rsidR="0063421B" w:rsidRDefault="00000000">
            <w:pPr>
              <w:jc w:val="center"/>
            </w:pPr>
            <w:r>
              <w:rPr>
                <w:b/>
              </w:rPr>
              <w:t>Pamatojums, ja iebildums / priekšlikums nav ņemts vērā</w:t>
            </w:r>
          </w:p>
        </w:tc>
      </w:tr>
      <w:tr w:rsidR="0063421B" w14:paraId="4504638E" w14:textId="77777777">
        <w:tc>
          <w:tcPr>
            <w:tcW w:w="750" w:type="dxa"/>
            <w:shd w:val="clear" w:color="auto" w:fill="FFFFFF"/>
            <w:noWrap/>
            <w:tcMar>
              <w:top w:w="75" w:type="dxa"/>
              <w:left w:w="75" w:type="dxa"/>
              <w:bottom w:w="75" w:type="dxa"/>
              <w:right w:w="75" w:type="dxa"/>
            </w:tcMar>
            <w:vAlign w:val="center"/>
          </w:tcPr>
          <w:p w14:paraId="291FE3F5" w14:textId="77777777" w:rsidR="0063421B" w:rsidRDefault="00000000">
            <w:pPr>
              <w:jc w:val="center"/>
            </w:pPr>
            <w:r>
              <w:t>1.</w:t>
            </w:r>
          </w:p>
        </w:tc>
        <w:tc>
          <w:tcPr>
            <w:tcW w:w="4155" w:type="dxa"/>
            <w:shd w:val="clear" w:color="auto" w:fill="FFFFFF"/>
            <w:noWrap/>
            <w:tcMar>
              <w:top w:w="75" w:type="dxa"/>
              <w:left w:w="75" w:type="dxa"/>
              <w:bottom w:w="75" w:type="dxa"/>
              <w:right w:w="75" w:type="dxa"/>
            </w:tcMar>
            <w:vAlign w:val="center"/>
          </w:tcPr>
          <w:p w14:paraId="4778E7D9" w14:textId="77777777" w:rsidR="0063421B" w:rsidRDefault="00000000">
            <w:pPr>
              <w:jc w:val="left"/>
            </w:pPr>
            <w:r>
              <w:t>Latvijas Darba devēju konfederācija, Liene Voroņenko</w:t>
            </w:r>
          </w:p>
        </w:tc>
        <w:tc>
          <w:tcPr>
            <w:tcW w:w="4156" w:type="dxa"/>
            <w:shd w:val="clear" w:color="auto" w:fill="FFFFFF"/>
            <w:noWrap/>
            <w:tcMar>
              <w:top w:w="75" w:type="dxa"/>
              <w:left w:w="75" w:type="dxa"/>
              <w:bottom w:w="75" w:type="dxa"/>
              <w:right w:w="75" w:type="dxa"/>
            </w:tcMar>
            <w:vAlign w:val="center"/>
          </w:tcPr>
          <w:p w14:paraId="0463525E" w14:textId="77777777" w:rsidR="0063421B" w:rsidRDefault="00000000">
            <w:pPr>
              <w:jc w:val="left"/>
            </w:pPr>
            <w:r>
              <w:t xml:space="preserve">Latvijas Darba devēju konfederācija, pamatojoties uz Valsts kontroles 2023.gada revīzijas rezultātiem un sniegtajām rekomendācijām, kā arī LDDK iepriekš sniegtajiem priekšlikumiem aicina pārskatīt un mazināt fragmentāro pieeju pieaugušo izglītības sistēmas piedāvājumu organizācijā, virzot šāda veida programmas pēc Cilvēkkapitāla attīstības stratēģijas un no tās izrietošo sasniedzamo rezultātu definēšanas. Programmas anotācijā, kur norādīts, ka pieaugušo izglītības piedāvājumu plānots organizēt atbilstoši uzņēmumu pieprasījumam, nav nodrošināta sasaiste ar reālu tautsaimniecības vajadzību vai uzņēmumu definētām vajadzībām. </w:t>
            </w:r>
            <w:r>
              <w:lastRenderedPageBreak/>
              <w:t>Ņemot vērā, ka programmas ietvaros paredzēts atbalsts noteiktas nozares uzņēmumiem, nav sniegta informācija par to iesaisti programmas izstrādē un vēl būtiskāk - pamatojumus programmas mērķagrupas definējumā, paredzot, ka šo uzņēmumu nodarbinātie ir vecumā līdz 29 gadiem ar zemu izglītības līmeni un nepietiekamām prasmēm. Tādējādi nav saprotams, uz kādiem pieņēmumiem balstīta risinājuma izstrāde un kādām turpmākām nozarēm / uzņēmumiem tiks nodrošināta pārkvalifikācija. </w:t>
            </w:r>
            <w:r>
              <w:br/>
              <w:t>Attiecīgi LDDK uzsver, ka nav detalizēti identificētas uzņēmumu līdzdalības formas, kā arī plānotā attiecināmība atbilstoši statistiskajiem reģioniem. </w:t>
            </w:r>
            <w:r>
              <w:br/>
              <w:t xml:space="preserve">Darba devēji norāda, ka programmas ietvaros nav sniegts papamtojums modulāro tālākizglītības programmu piedāvājumam, līdz ar to darba devēji norāda, ka turpmākā virzībā </w:t>
            </w:r>
            <w:r>
              <w:lastRenderedPageBreak/>
              <w:t>šis risinājums tiks vērtēts arī atbilstoši statistiskai informācijai par licencēto modulāro tālākizglītības programmu skaitu. </w:t>
            </w:r>
            <w:r>
              <w:br/>
              <w:t>LDDK aicina novērst vājo sasaistes aspektu ar uzņēmējdarbības faktisiakajām vajadzībām (nodrošinot detalizētu nozaru un uzņēmumu vajadzību, kā arī mērķa grupas analīzi), vienotu pieeju cilvēkkapitāla pieaugušo izglītības jomā, VK revīzijas priekšlikumu iestrādi programmas nosacījumos un virzīt atkārtotai apspriešanai programmu, kuras ieviešana ir sasaistīta ar tās definēto mērķi - atbalsts darbaspēka mācībām saskaņā ar uzņēmumu pieprasījumu. </w:t>
            </w:r>
            <w:r>
              <w:br/>
            </w:r>
          </w:p>
        </w:tc>
        <w:tc>
          <w:tcPr>
            <w:tcW w:w="1350" w:type="dxa"/>
            <w:shd w:val="clear" w:color="auto" w:fill="FFFFFF"/>
            <w:noWrap/>
            <w:tcMar>
              <w:top w:w="75" w:type="dxa"/>
              <w:left w:w="75" w:type="dxa"/>
              <w:bottom w:w="75" w:type="dxa"/>
              <w:right w:w="75" w:type="dxa"/>
            </w:tcMar>
            <w:vAlign w:val="center"/>
          </w:tcPr>
          <w:p w14:paraId="715B8E27" w14:textId="388B47AB" w:rsidR="0063421B" w:rsidRDefault="009444F0">
            <w:pPr>
              <w:jc w:val="left"/>
            </w:pPr>
            <w:r>
              <w:lastRenderedPageBreak/>
              <w:t>Ņemts vērā</w:t>
            </w:r>
          </w:p>
        </w:tc>
        <w:tc>
          <w:tcPr>
            <w:tcW w:w="4156" w:type="dxa"/>
            <w:shd w:val="clear" w:color="auto" w:fill="FFFFFF"/>
            <w:noWrap/>
            <w:tcMar>
              <w:top w:w="75" w:type="dxa"/>
              <w:left w:w="75" w:type="dxa"/>
              <w:bottom w:w="75" w:type="dxa"/>
              <w:right w:w="75" w:type="dxa"/>
            </w:tcMar>
            <w:vAlign w:val="center"/>
          </w:tcPr>
          <w:p w14:paraId="0A7F650F" w14:textId="77777777" w:rsidR="0063421B" w:rsidRDefault="009444F0">
            <w:pPr>
              <w:jc w:val="left"/>
            </w:pPr>
            <w:r w:rsidRPr="009444F0">
              <w:t>6.1.1.5. pasākuma </w:t>
            </w:r>
            <w:r w:rsidRPr="009444F0">
              <w:rPr>
                <w:b/>
                <w:bCs/>
              </w:rPr>
              <w:t>mērķa grupa</w:t>
            </w:r>
            <w:r w:rsidRPr="009444F0">
              <w:t> ir Kurzemes, Latgales, Vidzemes un Zemgales statistiskā reģions personas:</w:t>
            </w:r>
            <w:r w:rsidRPr="009444F0">
              <w:br/>
              <w:t>a) vecumā no 17 līdz 29 gadiem (ieskaitot), kuras ir nodarbinātas un ir ar zemu izglītības līmeni (pabeigta vai nepabeigta pamatizglītība vai vispārējā vidējā izglītība) vai  kuras nemācās un nav nodarbinātas; </w:t>
            </w:r>
            <w:r w:rsidRPr="009444F0">
              <w:br/>
              <w:t xml:space="preserve">b) vecumā no 17 līdz 29 gadiem (ieskaitot), kuras ir nodarbinātas un ir ar darba tirgum atbilstošu izglītības līmeni (iegūta profesionālā kvalifikācija (vismaz  trešais profesionālās kvalifikācijas līmenis vai augstākā izglītība)), kā arī nodarbinātas personas vecumā no 30 gadiem, kuras ir ar zemu izglītības līmeni </w:t>
            </w:r>
            <w:r w:rsidRPr="009444F0">
              <w:lastRenderedPageBreak/>
              <w:t>vai ar darba tirgum atbilstošu izglītības līmeni.</w:t>
            </w:r>
            <w:r w:rsidRPr="009444F0">
              <w:br/>
              <w:t xml:space="preserve">Pasakuma ietvaros atbilstoši TPF kā mērķa grupa izvirzīti Kurzemes, Latgales, Vidzemes un Zemgales statistiskā reģiona iedzīvotājideklarētā dzīves vieta  vai faktiskā darba vieta ir Kurzemes, Latgales, Vidzemes un Zemgales statistiskais reģions. TPF 4. sadaļā noteikts, ka prasmju attīstības, pilnveides un pārkvalifikācijas pasākumu tiešā mērķgrupa ir ekonomikas pārkārtošanās rezultātā skartie darbinieki. Tāpat TPTP noteikts, ka minētās nozares var izvirzīt jauno speciālistu prasmju vajadzības, kas atbilst to ekonomiskās transformācijas vajadzībām. TPF 2.1.2. sadaļā norādits, ka Reģionālās ekonomikas pārstrukturēšana un potenciāli radītās darbavietas sniegs iespēju potenciāli ietekmētajiem darbiniekiem uzlabot savu kvalifikācijas līmeni, lai pārkvalificētos un iekļautos </w:t>
            </w:r>
            <w:r w:rsidRPr="009444F0">
              <w:lastRenderedPageBreak/>
              <w:t>mainīgajā darba tirgū. Pieprasījums pēc augsti kvalificētiem darbiniekiem palielināsies, uzņēmumiem pieņemot lēmumus par pārkārtošanos uz klimatam draudzīgu un oglekļa neitrālu ekonomiku. Reģioniem ar straujāku iedzīvotāju skaita samazinājumu un negatīvām demogrāfijas tendencēm ir lielāks izaicinājums pārkārtoties uz klimatneitrālu ekonomiku.</w:t>
            </w:r>
            <w:r w:rsidRPr="009444F0">
              <w:br/>
              <w:t>No minētā tostarp izriet, ka reģioniem nepieicešamo jauno speciālistu nodrošināšanai/sagatavošanai jāizmanto ikviens reģiona iedzīvotājs, tostarp NEET Jaunieši, ieverojot minēto  6.1.1.5. pasākumā kā mērķa grupa iesaistāma/ nosakāma arī NEET jauniešieši.</w:t>
            </w:r>
            <w:r w:rsidRPr="009444F0">
              <w:br/>
              <w:t xml:space="preserve">Turklāt arī Darbības programmās noteikts, ka pārkārtošanās uz klimatneitrālu ekonomiku rezultātā nākotnē prognozējamas strukturālās izmaiņas darba tirgū, tādējādi atbalstāmi ieguldījumi </w:t>
            </w:r>
            <w:r w:rsidRPr="009444F0">
              <w:lastRenderedPageBreak/>
              <w:t xml:space="preserve">darba tirgus vajadzībām un aktuālajiem sociāli ekonomiskajiem izaicinājumiem atbilstoša prasmju pilnveides un jaunu kvalifikāciju piedāvājuma nodrošināšanai. Prasmju attīstības, pilnveides un pārkvalificēšanas piedāvājuma attīstība vērsta uz ilgtermiņa nodarbinātību, kuras ietvaros plānots nodarbināto prasmju paaugstināšanas atbalsts kvalifikācijas iegūšanai, atbalsts darba spēka mācībām, atbalsts reģiona ekonomiskās transformācijas virzieniem atbilstošu jauno speciālistu sagatavošana īsā cikla izglītības programmās, kā arī plānotas mācības u.c. pārkvalificēšanas pasākumi operatīvai un mērķtiecīgai no bezdarba riskam pakļauto un darba tiesiskajām attiecībām potenciāli atbrīvoto cilvēku integrēšanai darba tirgū, t.sk. no mazaizsargātajām sabiedrības grupām, nepasliktinot to sociālo stāvokli. Detalizēts prasmju saraksts, kas </w:t>
            </w:r>
            <w:r w:rsidRPr="009444F0">
              <w:lastRenderedPageBreak/>
              <w:t>nepieciešamas visvairāk skartajos reģionos, tiks izstrādāts sadarbībā ar sociālajiem un sadarbības partneriem.</w:t>
            </w:r>
          </w:p>
          <w:p w14:paraId="143FC2C5" w14:textId="77777777" w:rsidR="009444F0" w:rsidRDefault="009444F0">
            <w:pPr>
              <w:jc w:val="left"/>
            </w:pPr>
          </w:p>
          <w:p w14:paraId="5140A8D1" w14:textId="0BFCAA11" w:rsidR="009444F0" w:rsidRDefault="009444F0">
            <w:pPr>
              <w:jc w:val="left"/>
            </w:pPr>
            <w:r>
              <w:t xml:space="preserve">Tāpat informējam, ka ar Ekonomikas ministra 17.07.2024. rīkojumu ir apstiprināts </w:t>
            </w:r>
            <w:r w:rsidRPr="009444F0">
              <w:t>Apvienotās pieaugušo izglītības koordinācijas komisijas</w:t>
            </w:r>
            <w:r>
              <w:t xml:space="preserve"> </w:t>
            </w:r>
            <w:r>
              <w:t xml:space="preserve">nolikums, kas nosaka </w:t>
            </w:r>
            <w:r>
              <w:rPr>
                <w:szCs w:val="28"/>
              </w:rPr>
              <w:t>k</w:t>
            </w:r>
            <w:r w:rsidRPr="00F20C72">
              <w:rPr>
                <w:szCs w:val="28"/>
              </w:rPr>
              <w:t>omisija ir Ekonomikas ministrijas izveidota starpnozaru koleģiāla ekspertu institūcija, kas izveidota, lai nodrošinātu saskaņotu mācību piedāvājumu pieaugušo izglītības jomā, īstenotu saskaņotu iesaistīto institūciju darbību un pārvaldības koordināciju pieaugušo izglītības jomā cilvēkkapitāla attīstības stratēģisko mērķu sasniegšanai</w:t>
            </w:r>
            <w:r>
              <w:t xml:space="preserve"> un ar Ekonomikas ministra 25.07.2024. </w:t>
            </w:r>
            <w:r>
              <w:t>rīkojumu</w:t>
            </w:r>
            <w:r>
              <w:t xml:space="preserve"> ir apstiprināts </w:t>
            </w:r>
            <w:r w:rsidRPr="009444F0">
              <w:t>Apvienotās pieaugušo izglītības koordinācijas komisijas</w:t>
            </w:r>
            <w:r>
              <w:t xml:space="preserve"> sastāvs. </w:t>
            </w:r>
          </w:p>
          <w:p w14:paraId="60695C3C" w14:textId="6EC1FF8E" w:rsidR="009444F0" w:rsidRDefault="009444F0">
            <w:pPr>
              <w:jc w:val="left"/>
            </w:pPr>
            <w:r>
              <w:t>Vienlaikus vēršam uzmanību, ka mācību piedāvājuma veidošanā komisijas sadarbojas ar</w:t>
            </w:r>
            <w:r w:rsidRPr="009444F0">
              <w:t xml:space="preserve"> LDDK un </w:t>
            </w:r>
            <w:r w:rsidRPr="009444F0">
              <w:lastRenderedPageBreak/>
              <w:t>Nozaru ekspertu padomju pārstāvjiem pārrunājām un saskaņo</w:t>
            </w:r>
            <w:r>
              <w:t xml:space="preserve"> ar tām</w:t>
            </w:r>
            <w:r w:rsidRPr="009444F0">
              <w:t xml:space="preserve"> darba tirgus pieprasījumam un tautsaimniecības nozaru attīstībai nepieciešam</w:t>
            </w:r>
            <w:r>
              <w:t>ās mācību vajadzības</w:t>
            </w:r>
            <w:r w:rsidR="00FD0D0F">
              <w:t xml:space="preserve">, tostapr </w:t>
            </w:r>
            <w:r w:rsidRPr="009444F0">
              <w:t>profesionālajām kvalifikācijām un atbilstoš</w:t>
            </w:r>
            <w:r w:rsidR="00FD0D0F">
              <w:t>o</w:t>
            </w:r>
            <w:r w:rsidRPr="009444F0">
              <w:t xml:space="preserve"> mācību piedāvājum</w:t>
            </w:r>
            <w:r w:rsidR="00FD0D0F">
              <w:t>u.</w:t>
            </w:r>
          </w:p>
        </w:tc>
      </w:tr>
    </w:tbl>
    <w:p w14:paraId="546C1ECB" w14:textId="77777777" w:rsidR="00321276" w:rsidRDefault="00321276"/>
    <w:sectPr w:rsidR="00321276">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A6237" w14:textId="77777777" w:rsidR="00321276" w:rsidRDefault="00321276">
      <w:r>
        <w:separator/>
      </w:r>
    </w:p>
  </w:endnote>
  <w:endnote w:type="continuationSeparator" w:id="0">
    <w:p w14:paraId="2CF0F422" w14:textId="77777777" w:rsidR="00321276" w:rsidRDefault="00321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63321" w14:textId="77777777" w:rsidR="0063421B" w:rsidRDefault="00000000">
    <w:pPr>
      <w:jc w:val="right"/>
    </w:pPr>
    <w:r>
      <w:rPr>
        <w:sz w:val="24"/>
        <w:szCs w:val="24"/>
      </w:rPr>
      <w:fldChar w:fldCharType="begin"/>
    </w:r>
    <w:r>
      <w:rPr>
        <w:sz w:val="24"/>
        <w:szCs w:val="24"/>
      </w:rPr>
      <w:instrText>PAGE</w:instrText>
    </w:r>
    <w:r w:rsidR="009444F0">
      <w:rPr>
        <w:sz w:val="24"/>
        <w:szCs w:val="24"/>
      </w:rPr>
      <w:fldChar w:fldCharType="separate"/>
    </w:r>
    <w:r w:rsidR="009444F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812E7"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1B931" w14:textId="77777777" w:rsidR="00321276" w:rsidRDefault="00321276">
      <w:r>
        <w:separator/>
      </w:r>
    </w:p>
  </w:footnote>
  <w:footnote w:type="continuationSeparator" w:id="0">
    <w:p w14:paraId="1ACA5140" w14:textId="77777777" w:rsidR="00321276" w:rsidRDefault="00321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D5412" w14:textId="77777777" w:rsidR="0063421B" w:rsidRDefault="00000000">
    <w:pPr>
      <w:pStyle w:val="Header"/>
      <w:contextualSpacing w:val="0"/>
    </w:pPr>
    <w:r>
      <w:t>Viedokļu pārskats 23-TA-874</w:t>
    </w:r>
    <w:r>
      <w:br/>
      <w:t>Izdrukāts 08.11.2024. 22.34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1E66F" w14:textId="77777777" w:rsidR="0063421B" w:rsidRDefault="00000000">
    <w:pPr>
      <w:pStyle w:val="Header"/>
      <w:contextualSpacing w:val="0"/>
    </w:pPr>
    <w:r>
      <w:t xml:space="preserve">Viedokļu </w:t>
    </w:r>
    <w:r>
      <w:t>pārskats 23-TA-874</w:t>
    </w:r>
    <w:r>
      <w:br/>
      <w:t>Izdrukāts 08.11.2024. 22.34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1B"/>
    <w:rsid w:val="0008026E"/>
    <w:rsid w:val="00321276"/>
    <w:rsid w:val="0063421B"/>
    <w:rsid w:val="009444F0"/>
    <w:rsid w:val="00FD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2831"/>
  <w15:docId w15:val="{F2E2CB15-CF11-466C-9A45-3E0F558E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viedoklu_parskats_23-TA-874.docx</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viedoklu_parskats_23-TA-874.docx</dc:title>
  <dc:creator>Līga Vilde-Jurisone</dc:creator>
  <cp:lastModifiedBy>Līga Vilde-Jurisone</cp:lastModifiedBy>
  <cp:revision>2</cp:revision>
  <dcterms:created xsi:type="dcterms:W3CDTF">2024-11-08T20:45:00Z</dcterms:created>
  <dcterms:modified xsi:type="dcterms:W3CDTF">2024-11-08T20:45:00Z</dcterms:modified>
</cp:coreProperties>
</file>