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Noteikumu projekts) izstrādāts, lai veiktu precizējumus pēc Latvijas Atveseļošanas un noturības mehānisma plāna papildinājumā noteiktā.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rediakcionālus precizējumus, t.sk., precizēt normas pēc Latvijas Atveseļošanas un noturības mehānisma plāna papildinājumā noteiktā.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Nr. 421) nosaka, ka Latvijas komersantiem ir pieejams akciju sabiedrības "Attīstības finanšu institūcija Altum" (turpmāk – sabiedrība “Altum”) atbalsta – aizdevumi ar kapitāla atlaidi digitalizācijas projektu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sabiedrībā "Altum" kopā noslēgti 68 līgumi par summu 39 113 609 EUR. Projekti tiek īstenoti tādās nozarēs kā metālapstrāde, pārtikas rūpniecība, elektronika, būvniecība, farmācija un kokrūpniecības nozare.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konstatēts noteikts jautājumu loks, ko nepieciešams sakārtot, veicot grozījumus MK Noteikumos Nr. 421: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redakcijas, atbilstoši Ministru kabineta 2023. gada 26. septembra rīkojumam Nr. 635 “Par Latvijas Atveseļošanas un noturības mehānisma plāna papildinājumu” (turpmāk - Latvijas Atveseļošanas un noturības mehānisma plāna papildinājumā). Pieejams: https://likumi.lv/ta/id/345848-par-latvijas-atveselosanas-un-noturibas-mehanisma-plana-papildinajumu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atbalsta programmā pieejamo finansējumu, ņemot vērā Latvijas Atveseļošanas un noturības mehānisma plāna papildinājumā veiktos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pārņemt Saimniecisko darbību statistiskā klasifikācija Eiropas Kopienā, 2.1.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 šādas izmaiņas:</w:t>
      </w:r>
      <w:r w:rsidR="00000000" w:rsidRPr="00000000" w:rsidDel="00000000">
        <w:rPr>
          <w:b w:val="1"/>
          <w:rtl w:val="0"/>
        </w:rPr>
        <w:t xml:space="preserve">1. Precizēts atbalsta programmas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tika identificēts augsts pieprasījums atbalsta programmā. Attiecīgi tika pārskatīti Latvijas Atveseļošanas un noturības mehānisma plāna investīciju ietvaros Ekonomikas ministrijas pārziņā esošie finanšu resursi un līdz ar Latvijas Atveseļošanas un noturības mehānisma plāna papildinājumā ietvertajiem grozījumiem uz atbalsta programmu tika pārvirzīti </w:t>
      </w:r>
      <w:r w:rsidR="00000000" w:rsidRPr="00000000" w:rsidDel="00000000">
        <w:rPr>
          <w:rtl w:val="0"/>
        </w:rPr>
        <w:t xml:space="preserve">3 515 154</w:t>
      </w:r>
      <w:r w:rsidR="00000000" w:rsidRPr="00000000" w:rsidDel="00000000">
        <w:rPr>
          <w:rtl w:val="0"/>
        </w:rPr>
        <w:t xml:space="preserve"> EUR no 2.3.1.2.i. Uzņēmumu digitālo prasmju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prpjekts paredz grozījumus MK noteikumu Nr. 421 8. un 9. punktā, precizējot Eiropas Savienības Atveseļošanas un noturības mehānisma finansējumu un sasniedzamos rādītājus pārdalot finansējumu </w:t>
      </w:r>
      <w:r w:rsidR="00000000" w:rsidRPr="00000000" w:rsidDel="00000000">
        <w:rPr>
          <w:rtl w:val="0"/>
        </w:rPr>
        <w:t xml:space="preserve">3 515 154</w:t>
      </w:r>
      <w:r w:rsidR="00000000" w:rsidRPr="00000000" w:rsidDel="00000000">
        <w:rPr>
          <w:rtl w:val="0"/>
        </w:rPr>
        <w:t xml:space="preserve"> EUR no 2.3.1.2.i. Uzņēmumu digitālo prasmju attīstība. Vienlaikus veiktās izmaiņas paredz, ka piešķirto aizdevumu skaits tiek samazināts no 133 uz 60 projektiem, ņemot vērā, ka vidējā aizdevuma summa kāpusi no 339 421 EUR uz 670 000 EUR. Tāpat ņemot vērā, ka plānotais apgrozījuma apjoma pieaugums ekonomikā, ko sniegs izsniegtais aizdevums 2.2.1.4.i investīcijas ietvaros, būs vairāk kā 43 800 000 milj. EUR, tad tiek palielināts mērķa rādītājs no 37 milj. EUR līdz 43,8 milj.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Pārņemt Saimniecisko darbību statistiskā klasifikācija Eiropas Kopienā, 2.1.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un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421 grozījumos ir veikti tehniski precizējumi, atbilstoši Latvijas Atveseļošanas un noturības mehānisma plāna papildinājumā ietvertajiem grozījumiem, piemēram, precizējot definīcijas.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izsludināts publiskā apspriešanā. Informācija par rezultātiem tiks pievienoti pēc publiskās apspriešanas.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24-TA-3304</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24-TA-3304</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anotācija_(ex_ante)_24-TA-3304.docx</dc:title>
</cp:coreProperties>
</file>

<file path=docProps/custom.xml><?xml version="1.0" encoding="utf-8"?>
<Properties xmlns="http://schemas.openxmlformats.org/officeDocument/2006/custom-properties" xmlns:vt="http://schemas.openxmlformats.org/officeDocument/2006/docPropsVTypes"/>
</file>