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Ukrainas civiliedzīvotāju atbalsta likuma 8.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sniegt atbalstu Izglītības un zinātnes ministrijas (turpmāk – ministrija) padotībā esošajai profesionālās izglītības iestādei - Rēzeknes tehnikums (turpmāk – Tehnikums) - saistībā ar patvēruma meklētāju no Ukrainas izmitināšanu tehnikuma mācību vietas Zilupē dienesta viesnīcā (Kalnu iela 4, Zilupe) (turpmāk – Dienesta viesnīca) laika periodā no 2022. gada 1. augusta līdz 2022. gada 30.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Ukrainai nonākot Krievijas aktīvas agresijas kara apstākļos kopš 2022. gada 24. februāra, Latvija uzņēma Ukrainas civiliedzīvotājus, t.sk. arī patvēruma meklētājus, kuri tika izmitināti arī Latvijas izglītības iestāžu, t.sk. Tehnikuma, dienesta viesnīcās.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saņēmusi Iekšlietu ministrijas lūgumu izvērtēt iespēju turpināt primārā atbalsta sniegšanu Ukrainas civiliedzīvotājiem Tehnikuma Dienesta viesnīcā ar sarunās pārrunātajiem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Republikas un Krievijas Federācijas valsts robežu diennaktī pamatā šķērso no 18 līdz 62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Tehnikuma Dienesta viesnīcas pakalpojuma pieejamība, ievērojot tās uzņemšanas spējas un ģeogrāfiskās atrašanās vietu, primārā atbalsta nodrošināšanai Ukrainas civiliedzīvotājiem ir ļoti nozīmīga. Laika posmā no 2022. gada aprīļa līdz 2022. gada jūnijam Tehnikuma Dienesta viesnīcā bija nodrošināta Ukrainas civiliedzīvotāju izmitināšana 2599 cilvēkdienu apmērā. Tas nozīmē, ka šajā izmitināšanas vietā katru diennakti īslaicīgi (2 līdz 4 diennaktis) uzturējās vidēji 29 Ukrainas civiliedzīvotāji, kas šķērsoja Latvijas teritoriju, dodoties bēgļu gaitās uz citu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Ministru kabineta 2022. gada 8. jūnija noteikumos Nr. 339 “Noteikumi par primāri sniedzamā atbalsta nodrošināšanu Ukrainas civiliedzīvotājiem” (turpmāk – noteikumi Nr. 339) stāšanās spēkā, Dienesta viesnīca pārtrauca savu darbību no 2022. gada 1. jūlija, jo faktiskās izmitināšanas izmaksas pārsniedza noteikumos Nr. 339 noteiktās.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jūlijā tika panākta vienošanās, ka izmitināšanas vieta Dienesta viesnīcā atsāks savu darbību augustā, pārslēdzot līgumu ar Ludzas novada domi, ņemot vērā nosacījumus, kas noteikti noteikumu Nr. 339 5.1. un 5.2. apakšpunktā un 5.</w:t>
      </w:r>
      <w:r w:rsidR="00000000" w:rsidRPr="00000000" w:rsidDel="00000000">
        <w:rPr>
          <w:vertAlign w:val="superscript"/>
          <w:rtl w:val="0"/>
        </w:rPr>
        <w:t xml:space="preserve">1</w:t>
      </w:r>
      <w:r w:rsidR="00000000" w:rsidRPr="00000000" w:rsidDel="00000000">
        <w:rPr>
          <w:rtl w:val="0"/>
        </w:rPr>
        <w:t xml:space="preserve"> punktā, bet, ja faktiskās izmaksas pārsniegs noteikumos Nr. 339 noteiktās, tad Ministrija, virzīs atsevišķu pieprasījumu to kompensācijai no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sniegtas Ukrainas civiliedzīvotāju izmitināšanas faktiskās izmaksas Tehnikuma Dienesta viesnīcā pa izmaksu posteņiem.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atbalstīt aprēķināto atbalsta apmēru 11 913 EUR apmērā, kas veidojas kā starpība starp Ukrainas civiliedzīvotāju izmitināšanas faktiskajām izmaksām Tehnikuma Dienesta viesnīcā un no pašvaldības saņemtā atbalsta apmēra.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dots anotācijas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Anotācijas pielikumā ir dots detalizēts finansējuma aprēķins.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22-TA-3029</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22-TA-3029</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anotācija_(ex_ante)_22-TA-3029.docx</dc:title>
</cp:coreProperties>
</file>

<file path=docProps/custom.xml><?xml version="1.0" encoding="utf-8"?>
<Properties xmlns="http://schemas.openxmlformats.org/officeDocument/2006/custom-properties" xmlns:vt="http://schemas.openxmlformats.org/officeDocument/2006/docPropsVTypes"/>
</file>