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fondu 2021.—2027. gada plānošanas perioda vadības likuma 19. panta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projekta Nr. 4.1.2.1/1/24/I/001 “Nacionāla mēroga veselības veicināšanas un slimību profilakses pasākumi” finansējuma saņēmēja funkcijas un pienākumus no 05.05.2026. pārņem Slimību profilakses un kontroles centrs un 4.1.2.1. pasākuma ietvaros paredzētais elastības finansējums tiek pārvirzīts 4.1.2.5. pasākuma “Piesaistīt un noturēt ārstniecības personas darbam valsts apmaksāto veselības aprūpes pakalpojumu sektorā, īpaši stacionāros”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nevienlīdzību veselības jomā, ir būtiski jāuzlabo pieejamība veselības veicināšanas un slimību profilakses pakalpojumiem, jo īpaši, nabadzības un sociālās atstumtības riskam pakļautajiem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rīkiem mērķtiecīgai nevienlīdzības mazināšanai ir investīcijas veselības veicināšanā, slimību profilaksē un integrētas veselības aprūpes pakalpojumu nodrošināšanā, īpaši pievēršot uzmanību riska grupām, kas pakļautas finansiālai, ģeogrāfiskai u.c. nevienlīdzībai.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ietvaros veselības aprūpei būtiska nozīme ir iedzīvotāju veselības uzlabošanai visos vecumposmos un priekšlaicīgas mirstības mazināšanai, īstenojot visaptverošas veselības veicināšanas un slimību profilakses aktivitātes, kā arī veicinot cilvēkresursu piesaisti veselības nozarē, nodrošinot ārstniecības un ārstniecības atbalsta personu izglītošanu, kvalifikācijas pilnveidi un pārkvalifikāciju, un attīstot veselības aprūpes kvalitātes nodrošināšanas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28. novembra noteikumiem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(turpmāk - 4.1.2.1 pasākums) īstenošanas noteikumi” (turpmāk – MK noteikumi Nr. 694) noteikta kārtība, kādā tiek īstenota programmas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pasākums, kura mērķis ir uzlabot vienlīdzīgu un savlaicīgu piekļuvi kvalitatīviem, ilgtspējīgiem un izmaksu ziņā pieejamiem veselības aprūpes, kā arī veselības veicināšanas un slimību profilakses pakalpojumiem, uzlabojot veselības aprūpes sistēmas efektivitāti un izturētspēju un veicot nacionāla mēroga veselības veicināšanas un slimību profilakses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Pašlaik pasākumam plānotais kopējais finansējums ir 13 185 480 </w:t>
      </w:r>
      <w:r w:rsidR="00000000" w:rsidRPr="00000000" w:rsidDel="00000000">
        <w:rPr>
          <w:b w:val="1"/>
          <w:i w:val="1"/>
          <w:rtl w:val="0"/>
        </w:rPr>
        <w:t xml:space="preserve">euro</w:t>
      </w:r>
      <w:r w:rsidR="00000000" w:rsidRPr="00000000" w:rsidDel="00000000">
        <w:rPr>
          <w:b w:val="1"/>
          <w:rtl w:val="0"/>
        </w:rPr>
        <w:t xml:space="preserve"> (tai skaitā elastības finansējums – 4 715 030 </w:t>
      </w:r>
      <w:r w:rsidR="00000000" w:rsidRPr="00000000" w:rsidDel="00000000">
        <w:rPr>
          <w:b w:val="1"/>
          <w:i w:val="1"/>
          <w:rtl w:val="0"/>
        </w:rPr>
        <w:t xml:space="preserve">euro</w:t>
      </w:r>
      <w:r w:rsidR="00000000" w:rsidRPr="00000000" w:rsidDel="00000000">
        <w:rPr>
          <w:b w:val="1"/>
          <w:rtl w:val="0"/>
        </w:rPr>
        <w:t xml:space="preserve">), tai skaitā Eiropas Sociālā fonda Plus finansējums – 11 207 658 </w:t>
      </w:r>
      <w:r w:rsidR="00000000" w:rsidRPr="00000000" w:rsidDel="00000000">
        <w:rPr>
          <w:b w:val="1"/>
          <w:i w:val="1"/>
          <w:rtl w:val="0"/>
        </w:rPr>
        <w:t xml:space="preserve">euro</w:t>
      </w:r>
      <w:r w:rsidR="00000000" w:rsidRPr="00000000" w:rsidDel="00000000">
        <w:rPr>
          <w:b w:val="1"/>
          <w:rtl w:val="0"/>
        </w:rPr>
        <w:t xml:space="preserve"> (tai skaitā elastības finansējums – 4 007 776 </w:t>
      </w:r>
      <w:r w:rsidR="00000000" w:rsidRPr="00000000" w:rsidDel="00000000">
        <w:rPr>
          <w:b w:val="1"/>
          <w:i w:val="1"/>
          <w:rtl w:val="0"/>
        </w:rPr>
        <w:t xml:space="preserve">euro</w:t>
      </w:r>
      <w:r w:rsidR="00000000" w:rsidRPr="00000000" w:rsidDel="00000000">
        <w:rPr>
          <w:b w:val="1"/>
          <w:rtl w:val="0"/>
        </w:rPr>
        <w:t xml:space="preserve">) un valsts budžeta līdzfinansējums – 1 977 822 </w:t>
      </w:r>
      <w:r w:rsidR="00000000" w:rsidRPr="00000000" w:rsidDel="00000000">
        <w:rPr>
          <w:b w:val="1"/>
          <w:i w:val="1"/>
          <w:rtl w:val="0"/>
        </w:rPr>
        <w:t xml:space="preserve">euro</w:t>
      </w:r>
      <w:r w:rsidR="00000000" w:rsidRPr="00000000" w:rsidDel="00000000">
        <w:rPr>
          <w:b w:val="1"/>
          <w:rtl w:val="0"/>
        </w:rPr>
        <w:t xml:space="preserve"> (tai skaitā elastības finansējums – 707 254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visi Latvijas iedzīvotāji, īpaši sociālās un teritoriālās atstumtības riskam pakļautie iedzīvotāji, piemēram, bērni un jaunieši, personas ar vielu un procesu atkarībām un sociālās atstumtības riskam pakļautās iedzīvotāju grupas, vecāki, darba ņēmēji (īpaši gados vecāki), kā arī ārstniecības iestādes, izglītības iestādes, plānošanas reģioni, pašvaldības, biedrības un nodibinājumi, tiesībaizsardzības un bērnu tiesību aizsardzības institūcijas (piemēram, tiesas un sociālās korekcijas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4.1.2.1. pasākuma ietvaros</w:t>
      </w:r>
      <w:r w:rsidR="00000000" w:rsidRPr="00000000" w:rsidDel="00000000">
        <w:rPr>
          <w:rtl w:val="0"/>
        </w:rPr>
        <w:t xml:space="preserve">, lai novērstu iedzīvotāju priekšlaicīgu mirstību un darbnespēju, kā arī uzlabotu viņu dzīves kvalitāti un veselībpratību, pasākuma ietvaros ir </w:t>
      </w:r>
      <w:r w:rsidR="00000000" w:rsidRPr="00000000" w:rsidDel="00000000">
        <w:rPr>
          <w:u w:val="single"/>
          <w:rtl w:val="0"/>
        </w:rPr>
        <w:t xml:space="preserve">atbalstāmi veselības veicināšanas un slimību profilakses pasākumi Latvijas iedzīvotājiem visos vecumposmos un dažādām mērķa grupām šādās jomās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veselīga uztura lietošanas veicināšana, tostarp mutes dobuma un zobu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aktivitāšu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psihiskās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seksuālās un reproduktīvās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veicināšana un primārās slimību profilakses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traumatisma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infekciju izplatības mazināšana un vakcinācijas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iedzīvotāju izglītošana pirmās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prenatālās un agrīnās bērnības vecāku prasmju programmu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4.1.2.1. pasākuma ietvaros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 un vietēja mēroga veselības veicināšanas un slimību profilakses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veselības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komunikācijas un vizuālās identitātes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4.1.2.1. pasākuma ietvaros 2024. gada 12. aprīlī tika noslēgta vienošanās starp sadarbības iestādi (Centrālo finanšu un līgumu aģentūru) un Veselības ministriju par projekta Nr. 4.1.2.1/1/24/I/001 “Nacionāla mēroga veselības veicināšanas un slimību profilakses pasākumi” (turpmāk – projekts Nr. 4.1.2.1/1/24/I/001) īstenošanu. Projekta Nr. 4.1.2.1/1/24/I/001 iesniedzējs un finansējuma saņēmējs ir Veselības ministrija. Sadarbības partneris – Slimību profilakses un kontroles centrs (turpmāk -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projekta darbības - sabiedrības veselības pētījumi, nacionāla mēroga veselības veicināšanas un slimību profilakses pasākumi, izstrādāti un izplatīti dažāda veida un formāta informatīvie materiāli.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efektīvāku projekta Nr. 4.1.2.1/1/24/I/001 īstenošanu un tādējādi operatīvāk īstenotu Latvijas Nacionālajā attīstības plānā 2021. - 2027. gadam un Sabiedrības veselības pamatnostādnēs 2021. - 2027. gadam noteikto, </w:t>
      </w:r>
      <w:r w:rsidR="00000000" w:rsidRPr="00000000" w:rsidDel="00000000">
        <w:rPr>
          <w:b w:val="1"/>
          <w:rtl w:val="0"/>
        </w:rPr>
        <w:t xml:space="preserve">ar veselības ministra 2025. gada 28. novembra rezolūciju “Veselības ministra rezolūcija par Sabiedrības veselības un ārstniecības procesa kvalitātes pārvaldības procesa stiprināšanu” (turpmāk – rezolūcija) Eiropas Sociālā fonda Plus projekta Nr. 4.1.2.1/1/24/I/001 īstenošanas funkcija no Veselības ministrijas nodota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rezolūcijā norādītajam pārceltās amata vietas ir terminētas un izveidotas tikai uz projekta īstenošanas laiku, neparedzot beztermiņa nodarbinātību SPKC struktūrā. Rezolūcijā noteikts, ka jāparedz arī attiecīgā projekta iepriekšējā perioda pēcuzraudzības funkciju nodošana SPKC, nodrošinot šo funkciju nepārtrauktību, kā arī nosakāma kārtība, kādā tiek nodoti visi ar projektu saistītie dokumenti, tai skaitā vienošanās, līgumi un uzskaites dokumenti, un tiek nodrošināta procesu pārcelšana un turpmāka īstenošana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ar projekta Nr. 4.1.2.1/1/24/I/001 īstenošanas funkciju nodošanu SPKC tiks sekmēta paradigmas maiņa sabiedrībā par veselību veicinošiem pasākumiem un nodrošināta aktivitāšu īstenošana, kas veicina praktisku sabiedrības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finansējuma saņēmēja nomaiņa ir saistīta ar valsts veselības politikas mērķu īstenošanas pilnveidi un institucionālās atbildības koncentrēšanu vienā iestādē, kuras kompetencē ietilpst sabiedrības veselības veicināšana. Tas uzlabos resursu izmantošanas efektivitāti un veicinās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3. aprīļa noteikumos Nr. 241 “Slimību profilakses un kontroles centra nolikums” noteiktajam SPKC ir veselības ministra pakļautībā esoša tiešās pārvaldes iestāde, kuras darbības mērķis ir īstenot valstī sabiedrības veselības politiku epidemioloģiskās drošības un slimību profilakses apakšjomās un veselības aprūpes politiku veselības aprūpes kvalitātes apakšjomā, kā arī nodrošināt veselības veicināšanas politikas īstenošanu un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SPKC funkcijām ir veikt neinfekcijas slimību uzraudzību, organizēt slimību profilakses un veselības veicināšanas pasākumus, kā arī izvērtēt faktorus, kuri var ietekmēt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 izpildei SPKC veic sekojošus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slimību profilakses un veselības veicināšanas programmas un veic to īstenošanas metodisko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reģionālā līmenī koordinē veselības veicināšanas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 sabiedrības grupas jautājumos, kas ietekmē veselību un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 metodiski vada, organizē, koordinē un veic pētījumus sabiedrības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izvērtējumu, konstatēts, ka SPKC atbilst sākotnēji finansējuma saņēmējam izvirzītajiem projekta iesnieguma vērtēšanas kritērijiem, tas ir, atbilst MK noteikumos noteiktajam iesniedzēju lokam (1.1. kritērijs), tam Latvijas Republikā nav Valsts ieņēmumu dienesta administrēto nodokļu parādu, tai skaitā valsts sociālās apdrošināšanas obligāto iemaksu parādi, kas kopsummā katram atsevišķi pārsniedz 150 </w:t>
      </w:r>
      <w:r w:rsidR="00000000" w:rsidRPr="00000000" w:rsidDel="00000000">
        <w:rPr>
          <w:i w:val="1"/>
          <w:rtl w:val="0"/>
        </w:rPr>
        <w:t xml:space="preserve">euro</w:t>
      </w:r>
      <w:r w:rsidR="00000000" w:rsidRPr="00000000" w:rsidDel="00000000">
        <w:rPr>
          <w:rtl w:val="0"/>
        </w:rPr>
        <w:t xml:space="preserve"> (1.2. kritērijs) un tam ir pietiekama īstenošanas un finanšu kapacitāte projekta īstenošanai (1.7.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šobrīd 4.1.2.5. pasākumam “Piesaistīt un noturēt ārstniecības personas darbam valsts apmaksāto veselības aprūpes pakalpojumu sektorā, īpaši stacionāros” (turpmāk – 4.1.2.5. pasākums) piešķirtais finansējums kompensācijām jau ir izsmelts, taču joprojām tiek saņemti iesniegumi, kā arī ņemot vērā to, ka joprojām veselības aprūpes nodrošināšanai trūkst cilvēkresursi, kas nodrošina valsts apmaksāto veselības aprūpes sniegšanu Latvijas iedzīvotājiem, ir nepieciešams papildus finansējums ārstniecības personu piesaistei.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ka </w:t>
      </w:r>
      <w:r w:rsidR="00000000" w:rsidRPr="00000000" w:rsidDel="00000000">
        <w:rPr>
          <w:b w:val="1"/>
          <w:rtl w:val="0"/>
        </w:rPr>
        <w:t xml:space="preserve">no 05.05.2026. par</w:t>
      </w:r>
      <w:r w:rsidR="00000000" w:rsidRPr="00000000" w:rsidDel="00000000">
        <w:rPr>
          <w:b w:val="1"/>
          <w:rtl w:val="0"/>
        </w:rPr>
        <w:t xml:space="preserve"> finansējuma saņēmēju kļūst SPKC, kas saskaņā ar rezolūciju no Veselības ministrijas pārņem projekta Nr. 4.1.2.1/1/24/I/001 īstenošanas funkcijas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 nolemj novirzīt iezīmēto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un 4.1.2.6. pasākuma "Uzlabot izglītības iespējas ārstniecības personām, t. sk. uzlabojot tālākizglītības pieejamību" elastības finansējumu 8 635 999 </w:t>
      </w:r>
      <w:r w:rsidR="00000000" w:rsidRPr="00000000" w:rsidDel="00000000">
        <w:rPr>
          <w:i w:val="1"/>
          <w:rtl w:val="0"/>
        </w:rPr>
        <w:t xml:space="preserve">euro </w:t>
      </w:r>
      <w:r w:rsidR="00000000" w:rsidRPr="00000000" w:rsidDel="00000000">
        <w:rPr>
          <w:rtl w:val="0"/>
        </w:rPr>
        <w:t xml:space="preserve">apmērā 4.1.2.5. pasākuma turpmākajai īstenošanai. Ņemot vērā 4.1.2.1 pasākuma un 4.1.2.6. pasākuma mērķa sasniegšanu, ir pirmsšķietami jaušams, ka papildus iezīmētais elastības finansējums nav nepieciešams šo pasākumu mērķu īstenošanai, jo tos var īstenot ar šobrīd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ka </w:t>
      </w:r>
      <w:r w:rsidR="00000000" w:rsidRPr="00000000" w:rsidDel="00000000">
        <w:rPr>
          <w:b w:val="1"/>
          <w:rtl w:val="0"/>
        </w:rPr>
        <w:t xml:space="preserve">4.1.2.1. pasākuma elastības finansējums 4 715 030,00 </w:t>
      </w:r>
      <w:r w:rsidR="00000000" w:rsidRPr="00000000" w:rsidDel="00000000">
        <w:rPr>
          <w:b w:val="1"/>
          <w:i w:val="1"/>
          <w:rtl w:val="0"/>
        </w:rPr>
        <w:t xml:space="preserve">euro</w:t>
      </w:r>
      <w:r w:rsidR="00000000" w:rsidRPr="00000000" w:rsidDel="00000000">
        <w:rPr>
          <w:b w:val="1"/>
          <w:rtl w:val="0"/>
        </w:rPr>
        <w:t xml:space="preserve"> apmērā tiek pārvirzīts 4.1.2.5.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atlikušo 4.1.2.1. pasākuma kopējo pieejamo finansējumu tiek aizvien plānots nodrošināt novērst iedzīvotāju priekšlaicīgu mirstību un darbnespēju, kā arī uzlabotu viņu dzīves kvalitāti un veselībpratību, pasākuma ietvaros noteiktajām mērķu grupām noteiktajās jomās - veselīga uztura lietošanas veicināšana, tostarp mutes dobuma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zobu veselība; atkarību mazināšana; fizisko aktivitāšu veicināšana; psihiskās veselības veicināšana; seksuālās un reproduktīvās veselības veicināšana; veselības veicināšana un primārās slimību profilakses uzlabošana; traumatisma mazināšana; infekciju izplatības mazināšana un vakcinācijas veicināšana; iedzīvotāju izglītošana pirmās palīdzības sniegšanā; prenatālās un agrīnās bērnības vecāku prasmju programmu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precizēti MK noteikumu Nr. 694 10., 16., 39., 41. punkts un 1.3., 15.1., 20.1., 23.1., 23.2., 37.1. apakšpunkts, dzēsti punkti, kas attiecas uz elastības finansējumu, un precizēta 24. punkta redakcija, norādot spēkā esošo regulu, kā arī dzēsts 38. punkts, jo norādītā regula nav aktuāla. Atbilstoši Veselības ministra 19.12.2025. rīkojumam Nr. 01-01.1/207 "Par divu Eiropas Sociālā fonda Plus projektu īstenošanas pārcelšanu") noteikts, ka no 2026. gada 5. maija projekta Nr. 4.1.2.1/1/24/I/001 īstenošanas funkcija no Veselības ministrijas tiek nodota SPKC.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Savienības Kohēzijas politikas programmai 2021.–2027. gadam 4.1.2.1.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147 “Pasākumi, kas veicina aktīvas un veselīgas vecumdienas” – ESF+ finansējums 5 039 917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160 “Pasākumi veselības aprūpes sistēmas pieejamības, efektivitātes un noturības uzlabošanai (izņemot infrastruktūru)” – ESF+ finansējums 2 159 965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ESF+ finansējums 7 199 882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ESF+ finansējums 7 199 882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ESF+ finansējums 7 199 882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 “Dzimumu līdztiesības aspekta integrēšana” - ESF+ finansējums 7 199 882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stāšanās spēkā būs nepieciešams veikt izmaiņas īstenošanā esošajā projektā Nr. 4.1.2.1/1/24/I/001. Kopumā minētie grozījumi ir vērsti uz labāku 4.1.2. SAM mērķa sasniegšanu un iznākumu rādītāju sasniegšanu, un tie uzskatāmi par nebūtiskiem, jo neparedz atbalsta apjoma izmaiņas, neietekmē projekta atlasi, programmas rādītājus un kopējo 4.1. prioritātes “Veselības veicināšana un aprūpe” atbalsta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apstiprinātā, īstenošanā esošā projekta Nr. 4.1.2.1/1/24/I/001 pieejamā finansējuma  izmaiņas, un SPKC ir veselības ministra pakļautībā esoša tiešās pārvaldes iestāde, kurai finansējums projekta īstenošanai tiks plānots Veselības ministrijas budžeta apakšprogrammā 63.08.00. „Eiropas Sociālā fonda Plus (ESF+) projektu īstenošana (2021-2027)” līdzīgi kā iepriekšējam projekta īstenotājam - Veselības ministrijai, tādēļ tam nav ietekmes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Sabiedrības veselības veicināšanas projektu nodaļas septiņas amata vietas tiks pārceltas uz SPKC, attiecīgi ierēdņiem/darbiniekiem tiks piedāvāts pāriet uz SPKC. Pārceltās amata vietas ir terminētas un izveidotas tikai uz projekta īstenošanas laiku, neparedzot beztermiņa nodarbinātību SPKC struktūrā.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25-TA-884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pasākuma elastības finansējums 4 715 030 euro apmērā tiek pārvirzīts 4.1.2.5. pasākuma “Piesaistīt un noturēt ārstniecības personas darbam valsts apmaksāto veselības aprūpes pakalpojumu sektorā, īpaši stacionāros” īstenošanai, līdz ar to tiek veikti grozījumi 4.1.2.5. pasākuma "Piesaistīt un noturēt ārstniecības personas darbam valsts apmaksāto veselības aprūpes pakalpojumu sektorā, īpaši stacionāros" īstenošanas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efektīvāku un kvalitatīvāku 4.1.2. SAM mērķu sasniegšanu un pakalpojumu pieejamību sabiedrības interesēs un tam nav ietekmes uz sabiedrības pienākumiem, līdz ar to nav nepieciešams organizēt sabiedrības informēšanas pasākumus saistībā ar šī projekta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Finansējuma saņēmējs būs SPKC. Ar noteikumu projektu noteiktie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veicinās personu ar invaliditāti vienlīdzīgas iespējas un tiesības un radīs pozitīvu ietekmi uz personu ar invaliditāti situāciju un problēmu risināšanu, kā arī sniegs ieguldījumu un atbalstīs invaliditātes politiku, mērķtiecīgi un sistemātiski projekta īstenošanā integrējot vispārīgas un specifiskas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iepirkumu līgumu izpildītājiem (Iepirkuma nolikumos) tiek izvirzīta prasība nodrošināt, ka apmācību norises vietai ir iespēja fiziski piekļūt un to var izmantot personas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veselību veicinošos pasākumu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dažādi veselības veicināšanas un slimību profilakses pasākumi dažādām mērķa grupām, t.sk.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un īstenojot pasākumus tiks nodrošināti konsultatīva rakstura pasākumi par personu ar invaliditāti vienlīdzīgu iespēju jautājumiem, tostarp tiks nodrošināti surdotulka pakalpojumi, informatīvu materiālu sagatavošana Braila rakstā neredzīgajiem un informatīvi materiāli vieglajā  valodā, kā arī sociālo TV reklāmu īstenošana paredzot ar surdotulkojumu.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netieši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piemēram, veicinot mazāk pārstāvētā dzimuma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programmas, kas vērstas uz atšķirību mazināšanu sieviešu un vīriešu paredzamajā mūža ilgumā;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sabiedrībā valdošo stereotipu un priekšstatu maiņas programmas un pasākumi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iepirkumos tiks piesaistīti dzimumu līdztiesības eksperti (vai tiks nodrošināti konsultatīva rakstura pasākumi) izglītojošu programmu satura izvērtēšanai no dzimumu līdztiesības viedokļa (attiecīgi pievienojot dokumentus, piem.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Mērķtiecīgiem veselības veicināšanas un slimību profilakses pasākumiem ir būtiska loma sabiedrības veselības stāvokļa uzlabošanā, kas ir svarīgs faktors veselības aprūpes sistēmas noslodzes mazināšanā un veselības aprūpes pakalpojumu pieejamībai.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saņēmēji un sadarbības partneri nodrošinās informācijas un datu uzkrāšanu par sniegto atbalstu mērķa grupām, t.sk. pasākumā iesaistītiem dalībniekiem, kuri uzskaitāmi atbilstoši Eiropas Parlamenta un Padomes 2021. gada 24. jūnija Regulas (ES) Nr. 2021/1057, ar ko izveido Eiropas Sociālo fondu Plus (ESF+) un atceļ Regulu (ES) Nr. 1296/2013 I pielikumam un normatīvo aktu par Eiropas Savienības fondu projektu pārbaužu veikšanas kārtība 2021.–2027. gada plānošanas periodā 1. pielikumam, ievērojot Eiropas Parlamenta un Padomes 2016.gada 27.aprīļa regulas Nr.2016/679 par fizisku personu aizsardzību attiecībā uz personas datu apstrādi un šādu datu brīvu apriti un ar ko atceļ Direktīvu 95/46/EK prasības, tostarp 5. pantā nostiprinātos datu apstrādes principus, informācijas par personu datu apstrādi,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skaidrus datu apstrādes nolūkus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subjektus,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tiesiskais pamatojums - Eiropas Parlamenta un Padomes 2021. gada 24. jūnija Regulas (ES) Nr. 2021/1057, ar ko izveido Eiropas Sociālo fondu Plus (ESF+) un atceļ Regulu (ES) Nr. 1296/2013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subjekts - Pasākuma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īstenoti dažādi izglītojoši pasākumi, tostarp arī pasākumi par veselības veicināšanas jautājumiem pedagogiem, bērniem, par veselības veicināšanu atbildīgajiem pašvaldību un skolu pārstāvjiem, muzejpedagoģiskie un ekspozīcijas izveides pasākumi skolēniem par veselībpratību, kuru ietvaros tiks veicināta sabiedrības izglītošana par veselīga dzīvesveida paradumiem.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25-TA-3029</w:t>
    </w:r>
    <w:r>
      <w:br/>
    </w:r>
    <w:r w:rsidR="00000000" w:rsidRPr="00000000" w:rsidDel="00000000">
      <w:rPr>
        <w:rtl w:val="0"/>
      </w:rPr>
      <w:t xml:space="preserve">Izdrukāts 29.07.2026. 22.52 - 4.0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25-TA-3029</w:t>
    </w:r>
    <w:r>
      <w:br/>
    </w:r>
    <w:r w:rsidR="00000000" w:rsidRPr="00000000" w:rsidDel="00000000">
      <w:rPr>
        <w:rtl w:val="0"/>
      </w:rPr>
      <w:t xml:space="preserve">Izdrukāts 29.07.2026. 22.52 - 4.0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anotācija_(ex_ante)_25-TA-3029.docx</dc:title>
</cp:coreProperties>
</file>

<file path=docProps/custom.xml><?xml version="1.0" encoding="utf-8"?>
<Properties xmlns="http://schemas.openxmlformats.org/officeDocument/2006/custom-properties" xmlns:vt="http://schemas.openxmlformats.org/officeDocument/2006/docPropsVTypes"/>
</file>