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 (turpmāk – noteikumu projekts) ir izstrādāts pēc Izglītības un zinātnes ministrijas  (turpmāk – IZM)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4.2.2.1. pasākuma "Kvalitatīvas un mūsdienīgas izglītības īstenošana pirmsskolas, pamata un vidējās izglītības pakāpē" (turpmāk - 4.2.2.1. pasākums) iznākuma un rezultāta rādītāju vērtības atbilstoši Eiropas Savienības kohēzijas politikas programmai 2021.-2027. gadam, precizēt sadarbības partneru loku un finansējuma aprēķināšanas kārtību projekta sadarbības partneriem un pagarināt projekta īstenošanas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finansējuma aprēķināšanas kārtībā piemērojamas ar 2026./2027. mācību gadu.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ietver grozījumus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 (turpmāk – MK noteikumi par 4.2.2.1.pasākuma īstenošanu), precizējot 5. punktā iznākuma un rezultāta rādītāju vērtības, papildinot 13. punktā sadarbības partneru loku ar fizisku personu dibinātām izglītības iestādēm, precizējot 14. punktā finansējuma aprēķināšanas kārtību projekta sadarbības partneriem un 40. punktā projekta īstenošanas termiņu, kā arī papildinot MK noteikumus par 4.2.2.1. pasākuma īstenošanu ar pārejas nosacījumu, ka izmaiņas finansējuma aprēķināšanas kārtībā, kas minētas 14. punktā, piemērojamas ar 2026./2027. mācību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par 4.2.2.1. pasākuma īstenošanu 5. punktā ir noteikti 4.2.2.1. pasākuma iznākuma un rezultāta rādītāji - 88 iestādes. 15.12.2025. Eiropas Komisija apstiprināja grozījumus Eiropas Savienības kohēzijas politikas programmā 2021.– 2027. gadam, kur cita starpā tika veikti grozījumi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(turpmāk - 4.2.2.SAM) iznākuma rādītāja EECO18 un rezultāta rādītāja r.4.2.2.a vērtībās. Saskaņā ar 4.2.2.SAM rādītāju metodoloģijas aprakstu 4.2.2.1. pasākums paredzēja rādītāju vērtībās ieskaitīt pašvaldības (43) un valsts izglītības iestādes (45). Kopš Eiropas Savienības kohēzijas politikas programmas 2021.-2027. gadam apstiprināšanas 2021. gadā reformu rezultātā Latvijā faktiski ir 42 pašvaldības un - saskaņā ar Valsts izglītības informācijas sistēmas (turpmāk - VIIS) datiem par izglītības iestāžu pakļautību - 39 valsts izglītības iestādes. Līdz ar to grozījumos ir precizētas 4.2.2.SAM iznākuma rādītāja EECO18 un rezultāta rādītāja r.4.2.2.a kopējās gala vērtības, tās samazinot atbilstoši esošajam pašvaldību un valsts izglītības iestāžu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par 4.2.2.1. pasākuma īstenošanu 13. punktā ir minēti iespējamie projekta sadarbības partneri - pašvaldības, kas ir pirmsskolas, vispārējās un profesionālās izglītības iestāžu dibinātājas, valsts dibinātas vispārējās un profesionālās izglītības iestādes (tai skaitā koledžas), valsts augstskolu dibinātas akreditētas izglītības iestādes un citu juridisku personu dibinātas akreditētas pirmsskolas, vispārējās un profesionālās izglītības iestādes, kas īsteno Latvijā licencētas vispārējās izglītības programmas pirmsskolas, pamata un vidējās izglītības pakāpē un profesionālās izglītības programmas pamata un vidējās izglītības pakāpē. Noteikumu projekta sabiedriskās apspriešanas laikā tika saņemts priekšlikums papildināt sadarbības partneru loku ar fizisku personu dibinātām izglītības iestādēm, jo atbilstoši Izglītības likuma 23. panta “Izglītības iestādes dibināšanas, reorganizācijas un likvidēšanas kārtība” trešajai daļai "Privātās izglītības iestādes dibina, reorganizē un likvidē juridiskās un 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par 4.2.2.1. pasākuma īstenošanu 14. punktā ir ietverts nosacījums, ka projekta sadarbības partneriem pieejamais finansējuma apmērs norišu īstenošanai tiek aprēķināts, pamatojoties uz VIIS datiem par izglītojamo skaitu iepriekšējā mācību gada 1. oktobrī. Piemērojot MK noteikumu par 4.2.2.1. pasākuma īstenošanu 14. punktā minēto nosacījumu, 2025./2026. mācību gadā, salīdzinot izglītojamo datus 01.10.2024. un 01.10.2025. izglītības iestāžu līmenī netiek nodrošināts faktiskajam izglītojamo skaitam atbilstošs finansējuma sadalījums. No kopējā sadarbības partneru skaita (121) 57 sadarbības partneriem izglītojamo skaits 01.10.2025. ir lielāks nekā 01.10.2024., un attiecīgi ir piešķirts mazāks finansējums. Kopā  57 sadarbības partneriem piešķirtais finansējums neaptver 1625 izglītojamos, un naudas izteiksmē tas veido  iztrūkumu 32 500 </w:t>
      </w:r>
      <w:r w:rsidR="00000000" w:rsidRPr="00000000" w:rsidDel="00000000">
        <w:rPr>
          <w:i w:val="1"/>
          <w:rtl w:val="0"/>
        </w:rPr>
        <w:t xml:space="preserve">euro</w:t>
      </w:r>
      <w:r w:rsidR="00000000" w:rsidRPr="00000000" w:rsidDel="00000000">
        <w:rPr>
          <w:rtl w:val="0"/>
        </w:rPr>
        <w:t xml:space="preserve"> apmērā.  Izglītojamo skaita palielinājuma amplitūda šiem sadarbības partneriem ir dažāda - no  1 līdz 257 izglītojamajiem. Savukārt, 64 sadarbības partneriem no 121  izglītojamo skaits 01.10.2025. ir mazāks nekā 01.10.2024., un attiecīgi ir piešķirts lielāks finansējums. Kopā  64 sadarbības partneriem  piešķirtais finansējums  ir par papildu 3171 izglītojamo, un naudas izteiksmē tas veido  papildu finansējumu 64 220 </w:t>
      </w:r>
      <w:r w:rsidR="00000000" w:rsidRPr="00000000" w:rsidDel="00000000">
        <w:rPr>
          <w:i w:val="1"/>
          <w:rtl w:val="0"/>
        </w:rPr>
        <w:t xml:space="preserve">euro</w:t>
      </w:r>
      <w:r w:rsidR="00000000" w:rsidRPr="00000000" w:rsidDel="00000000">
        <w:rPr>
          <w:rtl w:val="0"/>
        </w:rPr>
        <w:t xml:space="preserve">. Sadarbības partneriem, kuriem šajā mācību gadā ir lielāks izglītojamo skaits salīdzinājumā ar iepriekšējā mācību gada 1.oktobri, ir iespējams apmeklēt norises piešķirtā finansējuma  ietvaros, piemēram, izvēloties lētākas  vai bezmaksas norises, ja tādas tiek nodrošinātas. Sadarbības partneri, kuriem šajā mācību gadā ir mazāks izglītojamo skaits salīdzinājumā ar iepriekšējā mācību gada 1.oktobri, ir aicināti apmeklēt papildu norises piešķirtā finansējuma  ietvaros. Taču šāda pieeja nenodrošina vienlīdzīgu pieeju izglītības iestāžu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par 4.2.2.1. pasākuma īstenošanu 40. punkts noteic, ka projektu īsteno ne ilgāk kā līdz 31.12.2028. Minētais termiņš tika iekļauts, pieņemot, ka projekta darbību īstenošana tiks uzsākta 2025. gada sākumā. Taču faktiski norišu īstenošana tika uzsākta 2025. gada septembrī, t.i., ar 9 mēnešu nobīdi. 4.2.2.1.pasākumam pieejamā finansējuma ietvaros tiek plānots, ka izglītojamie var apmeklēt līdz 4 norisēm mācību gadā. No vairākiem projekta sadarbības partneriem ir saņemta informācija, ka mācību gada laikā nav iespējams veiksmīgi plānot un īstenot 4 norises katram izglītojamajam, un šāds norišu skaits un intensitāte ir par lielu.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ietver šādus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grozījumiem Eiropas Savienības kohēzijas politikas programmā 2021.– 2027. gadam tiek precizētas MK noteikumos par 4.2.2.1.pasākuma īstenošanu minēto sasniedzamo iznākuma un rezultāta rādītāju vērtības no 88 uz 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sadarbības partneru loku ar fiziskas personas dibinātām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noteic, ka no 2026./2027. mācību gada finansējumu piešķir atbilstoši faktiskajam izglītojamo skaitam sadarbības partneru izglītības iestādēs, ņemot vērā VIIS tekošā mācību gada 1. oktobra datus. Lai nodrošinātu iespēju izglītojamajiem apmeklēt norises ar tekošā mācību gada septembri, finansējuma saņēmējs projektā noteiktā kārtībā sadarbības partneriem var piešķirt daļu finansējuma (piemēram, 50%, pamatojoties uz  VIIS datiem par izglītojamo skaitu iepriekšējā mācību gada 1. oktobrī), bet pēc tekošā mācību gada 1. oktobra – atlikušo finansējuma daļu, balstoties uz VIIS datiem par izglītojamo skaitu tekošā mācību gada 1. oktobrī, nodrošinot godīgu un taisnīgu finansējuma aprēķinu tā, lai katram izglītojamajam būtu pieejams vienlīdzīgs finansējuma apmērs. Pēc šo grozījumu spēkā stāšanās tiks veikts atbilstošs grozījums IZM metodikā “Vienas vienības izmaksu likmes noteikšanas un piemērošanas metodika plašākas mācīšanās pieredzes norišu attiecināmībai 4.2.2.1. pasākumā “Kvalitatīvas un mūsdienīgas izglītības īstenošana pirmsskolas, pamata un vidējās izglītības pakāpē”” (turpmāk - metodika), precizējot tabulā  “4.2.2.1. pasākuma ietvaros atbalstāmo norišu un valsts budžeta programmas ietvaros atbalstāmo norišu salīdzinājums” ietverto informāciju par finansējuma plānošanas principu, t.i., nevis atbilstoši VIIS datiem par izglītojamo skaitu iepriekšējā mācību gada 1. oktobrī, bet atbilstoši VIIS datiem par izglītojamo skaitu tekošā mācību gada 1. oktobrī. Minētais grozījums metodikā neietekmē vienas vienības izmaksu likmes apmēra noteikšanas un metodikas piemērošanas nosacījumus, līdz ar to uzskatāms par tehnisku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īstenošanas termiņu pagarināt līdz 31.08.2029. Pagarinot projekta īstenošanas termiņu, norises tiks nodrošinātas 4 pilnus mācību gadus (2025./2026., 2026./2027., 2027./2028. un 2028./2029.). Izglītības iestādes varēs plānot plašākas mācīšanās pieredzes norises izglītojamajiem mācību satura padziļinātai apguvei vienmērīgākā intensitātē, indikatīvi 2-3 norises mācību gadā. Risinājums piedāvā arī mazināt Valsts kontroles revīzijas 30.01.2026. ziņojumā “Nevienlīdzīgās iespējas pamatizglītībā” (turpmāk – ziņojums) minētos riskus vienlīdzīgu iespēju nodrošināšanā mācību satura kvalitatīvai apguvei. Ziņojumā viens no iemesliem, kāpēc nav notikušas mācību stundas, ir minētas tā sauktās “alternatīvās” dienas -  Zinību diena, Sporta diena, “Latvijas Skolas soma” pasākumi, u.c. (ziņojuma 31.lp.). Lai gan 4.2.2.1.pasākums pēc atsevišķām pazīmēm (tiešo attiecināmo norišu izmaksu veidi, norišu izmaksu aprēķins) ir līdzīgs valsts budžeta programmai “Latvijas Skolas soma”, 4.2.2.1. pasākumam ir atšķirīgs mērķis: “nodrošināt bērniem un jauniešiem iespēju apmeklēt norises STEM jomā un pilsoniskās līdzdalības jomā, kas sekmē mācību satura sasniedzamo rezultātu un mērķu sasniegšanu, lai mācību procesā dažādotu mācīšanās pieredzi, efektīvāk sasaistītu mācību teoriju ar praksi, veicinātu izpratni par minēto jomu darba tirgus prasībām, radītu interesi par šo jomu apgūšanu un sekmētu turpmāku mācīšanās izvēli minētajās jomās” (MK noteikumu par 4.2.2.1.pasākuma īstenošanu 3. punkts). Citiem vārdiem, norišu mērķis ir sniegt dažādāku mācīšanās pieredzi - nevis atrauti no mācību satura, bet papildinot to. Vienlaikus dažkārt izglītības iestādēm, jo īpaši gadījumos, kad norises notiek ārpus izglītības iestādes telpām vai izglītības iestādes administratīvās teritorijas, ir jāpārkārto mācību stundu plāns, lai nodrošinātu visu mācību priekšmetu īstenošanu tiem paredzētajā apjomā. Pagarinot projekta īstenošanas termiņu un izlīdzinot paredzamo STEM un pilsoniskās līdzdalības norišu skaitu mācību gadā, izglītības iestādēm tiek nodrošināts vienmērīgāks mācību procesa plānojums visu gan pirmsskolas izglītības vadlīnijās, gan vispārējās izglītības standartos minēto prasību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Pagarinot 4.2.2.1. pasākuma īstenošanas termiņu, kopējā finansējuma 34 009 600 </w:t>
      </w:r>
      <w:r w:rsidR="00000000" w:rsidRPr="00000000" w:rsidDel="00000000">
        <w:rPr>
          <w:i w:val="1"/>
          <w:rtl w:val="0"/>
        </w:rPr>
        <w:t xml:space="preserve">euro</w:t>
      </w:r>
      <w:r w:rsidR="00000000" w:rsidRPr="00000000" w:rsidDel="00000000">
        <w:rPr>
          <w:rtl w:val="0"/>
        </w:rPr>
        <w:t xml:space="preserve"> apmērā, ko veido Eiropas Sociālā fonda Plus (turpmāk - ESF) finansējums – 28 908 160  </w:t>
      </w:r>
      <w:r w:rsidR="00000000" w:rsidRPr="00000000" w:rsidDel="00000000">
        <w:rPr>
          <w:i w:val="1"/>
          <w:rtl w:val="0"/>
        </w:rPr>
        <w:t xml:space="preserve">euro</w:t>
      </w:r>
      <w:r w:rsidR="00000000" w:rsidRPr="00000000" w:rsidDel="00000000">
        <w:rPr>
          <w:rtl w:val="0"/>
        </w:rPr>
        <w:t xml:space="preserve"> un valsts budžeta līdzfinansējums – 5 101 440  </w:t>
      </w:r>
      <w:r w:rsidR="00000000" w:rsidRPr="00000000" w:rsidDel="00000000">
        <w:rPr>
          <w:i w:val="1"/>
          <w:rtl w:val="0"/>
        </w:rPr>
        <w:t xml:space="preserve">euro</w:t>
      </w:r>
      <w:r w:rsidR="00000000" w:rsidRPr="00000000" w:rsidDel="00000000">
        <w:rPr>
          <w:rtl w:val="0"/>
        </w:rPr>
        <w:t xml:space="preserve">, indikatīvais sadalījums pa gadiem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5 000 000 </w:t>
      </w:r>
      <w:r w:rsidR="00000000" w:rsidRPr="00000000" w:rsidDel="00000000">
        <w:rPr>
          <w:i w:val="1"/>
          <w:rtl w:val="0"/>
        </w:rPr>
        <w:t xml:space="preserve">euro</w:t>
      </w:r>
      <w:r w:rsidR="00000000" w:rsidRPr="00000000" w:rsidDel="00000000">
        <w:rPr>
          <w:rtl w:val="0"/>
        </w:rPr>
        <w:t xml:space="preserve">, tai skaitā ESF - 4 250 000 </w:t>
      </w:r>
      <w:r w:rsidR="00000000" w:rsidRPr="00000000" w:rsidDel="00000000">
        <w:rPr>
          <w:i w:val="1"/>
          <w:rtl w:val="0"/>
        </w:rPr>
        <w:t xml:space="preserve">euro</w:t>
      </w:r>
      <w:r w:rsidR="00000000" w:rsidRPr="00000000" w:rsidDel="00000000">
        <w:rPr>
          <w:rtl w:val="0"/>
        </w:rPr>
        <w:t xml:space="preserve"> un valsts budžets - 750 000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2026.gadā 7 220 000 </w:t>
      </w:r>
      <w:r w:rsidR="00000000" w:rsidRPr="00000000" w:rsidDel="00000000">
        <w:rPr>
          <w:i w:val="1"/>
          <w:rtl w:val="0"/>
        </w:rPr>
        <w:t xml:space="preserve">euro</w:t>
      </w:r>
      <w:r w:rsidR="00000000" w:rsidRPr="00000000" w:rsidDel="00000000">
        <w:rPr>
          <w:rtl w:val="0"/>
        </w:rPr>
        <w:t xml:space="preserve">, tai skaitā ESF - 6 137 000 </w:t>
      </w:r>
      <w:r w:rsidR="00000000" w:rsidRPr="00000000" w:rsidDel="00000000">
        <w:rPr>
          <w:i w:val="1"/>
          <w:rtl w:val="0"/>
        </w:rPr>
        <w:t xml:space="preserve">euro</w:t>
      </w:r>
      <w:r w:rsidR="00000000" w:rsidRPr="00000000" w:rsidDel="00000000">
        <w:rPr>
          <w:rtl w:val="0"/>
        </w:rPr>
        <w:t xml:space="preserve"> un valsts budžets - 1 083 000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2027.gadā 9 400 000 </w:t>
      </w:r>
      <w:r w:rsidR="00000000" w:rsidRPr="00000000" w:rsidDel="00000000">
        <w:rPr>
          <w:i w:val="1"/>
          <w:rtl w:val="0"/>
        </w:rPr>
        <w:t xml:space="preserve">euro</w:t>
      </w:r>
      <w:r w:rsidR="00000000" w:rsidRPr="00000000" w:rsidDel="00000000">
        <w:rPr>
          <w:rtl w:val="0"/>
        </w:rPr>
        <w:t xml:space="preserve">, tai skaitā ESF - 7 990 000 </w:t>
      </w:r>
      <w:r w:rsidR="00000000" w:rsidRPr="00000000" w:rsidDel="00000000">
        <w:rPr>
          <w:i w:val="1"/>
          <w:rtl w:val="0"/>
        </w:rPr>
        <w:t xml:space="preserve">euro</w:t>
      </w:r>
      <w:r w:rsidR="00000000" w:rsidRPr="00000000" w:rsidDel="00000000">
        <w:rPr>
          <w:rtl w:val="0"/>
        </w:rPr>
        <w:t xml:space="preserve"> un valsts budžets - 1 410 000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2028.gadā 10 000 000 </w:t>
      </w:r>
      <w:r w:rsidR="00000000" w:rsidRPr="00000000" w:rsidDel="00000000">
        <w:rPr>
          <w:i w:val="1"/>
          <w:rtl w:val="0"/>
        </w:rPr>
        <w:t xml:space="preserve">euro</w:t>
      </w:r>
      <w:r w:rsidR="00000000" w:rsidRPr="00000000" w:rsidDel="00000000">
        <w:rPr>
          <w:rtl w:val="0"/>
        </w:rPr>
        <w:t xml:space="preserve">, tai skaitā ESF - 8 500 000 </w:t>
      </w:r>
      <w:r w:rsidR="00000000" w:rsidRPr="00000000" w:rsidDel="00000000">
        <w:rPr>
          <w:i w:val="1"/>
          <w:rtl w:val="0"/>
        </w:rPr>
        <w:t xml:space="preserve">euro</w:t>
      </w:r>
      <w:r w:rsidR="00000000" w:rsidRPr="00000000" w:rsidDel="00000000">
        <w:rPr>
          <w:rtl w:val="0"/>
        </w:rPr>
        <w:t xml:space="preserve"> un valsts budžets - 1 500 000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2029.gadā 2 389 600 </w:t>
      </w:r>
      <w:r w:rsidR="00000000" w:rsidRPr="00000000" w:rsidDel="00000000">
        <w:rPr>
          <w:i w:val="1"/>
          <w:rtl w:val="0"/>
        </w:rPr>
        <w:t xml:space="preserve">euro</w:t>
      </w:r>
      <w:r w:rsidR="00000000" w:rsidRPr="00000000" w:rsidDel="00000000">
        <w:rPr>
          <w:rtl w:val="0"/>
        </w:rPr>
        <w:t xml:space="preserve">, tai skaitā ESF - 2 031 160 </w:t>
      </w:r>
      <w:r w:rsidR="00000000" w:rsidRPr="00000000" w:rsidDel="00000000">
        <w:rPr>
          <w:i w:val="1"/>
          <w:rtl w:val="0"/>
        </w:rPr>
        <w:t xml:space="preserve">euro</w:t>
      </w:r>
      <w:r w:rsidR="00000000" w:rsidRPr="00000000" w:rsidDel="00000000">
        <w:rPr>
          <w:rtl w:val="0"/>
        </w:rPr>
        <w:t xml:space="preserve"> un valsts budžets - 358 440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ietekmē Valsts izglītības attīstības aģentūras un Centrālās finanšu un līgumu aģentūras noslēgto vienošanos par projekta īstenošanu. Noteikumu projektā ietvertie grozījumi par finansējuma aprēķināšanas kārtību un projekta īstenošanas termiņu ietekmē Valsts izglītības attīstības aģentūras noslēgtos sadarbības līgumus ar pašvaldībām un izglītības iestādēm. Gan vienošanās par projekta īstenošanu, gan sadarbības līgumos tiks veiktas attiecīgas izmaiņas. Lai ievērotu tiesiskās paļāvības principu, jaunās finansējuma aprēķināšanas kārtības piemērošana sadarbības līgumos tiks noteikta ar nākamo mācību gadu, t.i., ar 2026./2027.mācību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https://vktap.mk.gov.lv/public_participations/public_discussions/09fa68f2-6d4b-4b03-85db-1d08fb311f50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publiskās apspriešanas laikā tika saņemts priekšlikums papildināt sadarbības partneru loku ar fizisku personu dibinātām izglītības iestādēm, jo atbilstoši Izglītības likuma 23. panta “Izglītības iestādes dibināšanas, reorganizācijas un likvidēšanas kārtība” trešajai daļai "Privātās izglītības iestādes dibina, reorganizē un likvidē juridiskās un fiziskās personas." Izteiktais priekšlikums ir ņemts vērā un noteikumu projekts ir precizēts.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valsts, valsts augstskolu, juridisku un fizisku personu dibinātas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pilda atbildīgās iestādes funkcijas. Centrālā finanšu un līgumu aģentūra pilda sadarbības iestādes funkcijas un Valsts izglītības attīstības aģentūra pilda finansējuma saņēmēja funkcijas. Pašvaldības un valsts, valsts augstskolu, juridisko un fizisko personu dibinātas izglītības iestādes ir projekta sadarbības partneri. Lai nodrošinātu noteikumu projektā paredzēto grozījumu īstenošanu, tiks veikti grozījumi vienošanās par projekta īstenošanu starp Centrālo finanšu un līgumu aģentūru un Valsts izglītības attīstības aģentūru, kā arī grozījumi sadarbības līgumos starp Valsts izglītības attīstības aģentūru un sadarbības partneriem - pašvaldībām un citu dibinātāju izglītības iestādēm; jauni sadarbības līgumi iespējami ar fizisku personu dibinātām izglītības iestādēm un citām izglītības iestādēm, kuras vēl nav iesaistījušās projektā.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26-TA-651</w:t>
    </w:r>
    <w:r>
      <w:br/>
    </w:r>
    <w:r w:rsidR="00000000" w:rsidRPr="00000000" w:rsidDel="00000000">
      <w:rPr>
        <w:rtl w:val="0"/>
      </w:rPr>
      <w:t xml:space="preserve">Izdrukāts 30.07.2026. 00.22 - 2.0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26-TA-651</w:t>
    </w:r>
    <w:r>
      <w:br/>
    </w:r>
    <w:r w:rsidR="00000000" w:rsidRPr="00000000" w:rsidDel="00000000">
      <w:rPr>
        <w:rtl w:val="0"/>
      </w:rPr>
      <w:t xml:space="preserve">Izdrukāts 30.07.2026. 00.22 - 2.0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anotācija_(ex_ante)_26-TA-651.docx</dc:title>
</cp:coreProperties>
</file>

<file path=docProps/custom.xml><?xml version="1.0" encoding="utf-8"?>
<Properties xmlns="http://schemas.openxmlformats.org/officeDocument/2006/custom-properties" xmlns:vt="http://schemas.openxmlformats.org/officeDocument/2006/docPropsVTypes"/>
</file>