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2026. gada 3. februāra noteikumos Nr. 48 "Noteikumi par atbalstu projektiem rūpniecisko spēju uzlabošanai""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saskaņot MKN Nr.48 ar Darbības programmas grozījumiem Nr.5 un MKN Nr.510, precizējot 1.5.1. pasākumam pieejamo finansējumu: 4.punktā noteikt kopējo pasākuma finansējumu un 1.kārtas grantiem paredzēto apmēru, sasaistot to ar finanšu instrumentu īstenošanas normatīvo regulējumu, un 5.punktā noteikt divas kārtas un to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48 nosaka atbalsta sniegšanas kārtību projektiem rūpniecisko spēju uzlabošanai, tostarp pasākuma īstenošanas nosacījumus un finansējuma ietvaru. Vienlaikus Eiropas Savienības kohēzijas politikas programmas 2021.–2027. gadam grozījumos Nr. 5 ir paredzētas izmaiņas finanšu instrumentiem pieejamā finansējuma apmērā, tostarp 1.5.1. specifiskā atbalsta mērķa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Valsts kancelejā ir iesniegti grozījumi Ministru kabineta noteikumos Nr. 510, kuros tiek precizēts finanšu instrumentiem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Nr. 48 spēkā esošā redakcija pilnā apmērā neatspoguļo Darbības programmas grozījumos Nr. 5 un paralēli virzītajos grozījumos MKN Nr. 510 noteikto finansējuma struktūru un sadalījumu pa kārtām.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Ministru kabineta noteikumos Nr. 48 netiktu veikti attiecīgi grozījumi, rodas neatbilstība starp Darbības programmu, finanšu instrumentu kopīgajiem īstenošanas noteikumiem un pasākuma īstenošanas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rada tiesisko nenoteiktību attiecībā uz pasākumam pieejamo finansējumu, tā sadalījumu pa kārtām un grantu finansējuma apmēru pirmajā kārtā. Pastāv arī risks kavēt projektu atlases uzsākšanu un finanšu instrumenta ieviešanu atbilstoši Darbības programmas grozījumiem Nr. 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identificētās problēmas, ar grozījumiem Ministru kabineta noteikumos Nr. 48 tiek precizēts noteikumu 4. punkts, nosakot, ka finanšu instrumentiem pieejamais finansējums tiek noteikts saskaņā ar normatīvo aktu, kas reglamentē Eiropas Savienības kohēzijas politikas programmas 2021.–2027. gadam ietvaros izmantojamo finanšu instrumentu īstenošanas kārtību, vienlaikus norādot kopējo pasākuma finansējumu un pirmajā kārtā paredzēto finansējumu grantiem.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tiek precizēts noteikumu 5. punkts, nosakot, ka pasākuma īstenošana paredzēta divās kārtās, kā arī skaidri norādot katrai kārtai pieejamo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grozījumi nodrošina normatīvā regulējuma savstarpēju saskaņotību, tiesisko skaidrību un atbilstību Darbības programmas grozījumiem Nr. 5, kā arī rada priekšnoteikumus pasākuma savlaicīgai un efektīvai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30 000 000 EUR apmērā 1.5.1. specifiskā atbalsta mērķa pasākumam pārvirzīts no pasākuma 1.2.1.2. pasākuma saskaņā ar Ministru kabineta 2023.gada 5.septembra noteikumu Nr.510 “Eiropas Savienības kohēzijas politikas programmas 2021.–2027. gadam finanšu instrumentu kopīgie īstenošanas noteikumi” grozījumu projektu (26-TA-310).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1.5.1. pasākuma īstenošana nav uzsākta, īstenošanā nav neviena projekta, tāpēc līguma grozījumi ar finansējuma saņēmējiem nebūs nepieciešami.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510. MKN noteikts,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1.5.1. specifiskā atbalsta mērķa "Rūpniecisko spēju uzlabošana aizsardzības stiprināšanai" paredzēti šādi intervences kodi un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194 “Ienesīgas investīcijas lielos uzņēmumos aizsardzības un divējāda lietojuma tehnoloģiju jomā”      14 875 000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Kods 195  “Ienesīgas investīcijas MVU aizsardzības un divējāda lietojuma tehnoloģiju jomā”    14 875 000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Šie grozījumi paredzēti tikai finansējuma apmēra precizēšanai,</w:t>
      </w:r>
      <w:r w:rsidR="00000000" w:rsidRPr="00000000" w:rsidDel="00000000">
        <w:rPr>
          <w:rtl w:val="0"/>
        </w:rPr>
        <w:t xml:space="preserve"> lai saskaņotu tos ar MKN 510 ierosinātajiem grozījumiem un Darbības programmas grozījumiem Nr. 5.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palielināt 1.5.1. specifisko atbalsta mērķim "Rūpniecisko spēju uzlabošana aizsardzības stiprināšanai, prioritāti piešķirot divējāda lietojuma spējām" pieejamo finansējuma apmēru par 30 000 000 EUR (tai skaitā ERAF finansējumu par 25 500 000 euro un valsts budžeta finansējumu par 4 500 000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30 000 000 EUR apmērā tiks pārdalīts no pasākuma 1.2.1.2. "Produktivitātes aizdevumi (t.sk., ar kapitāla atlaidi) inovatīvām iekārtām, pētniecībai un attīstībai, tehnoloģiju pārnesei.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Eiropas Savienības kohēzijas politikas programmas 2021.–2027. gadam finanšu instrumentu kopīgie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tiek precizēts tikai pasākuma finansējuma apmērs un sadalījums pa kārtām, kas jau ir apstiprināts ar Darbības programmas grozījumiem Nr. 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26-TA-826</w:t>
    </w:r>
    <w:r>
      <w:br/>
    </w:r>
    <w:r w:rsidR="00000000" w:rsidRPr="00000000" w:rsidDel="00000000">
      <w:rPr>
        <w:rtl w:val="0"/>
      </w:rPr>
      <w:t xml:space="preserve">Izdrukāts 29.07.2026. 21.10 - 2.0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26-TA-826</w:t>
    </w:r>
    <w:r>
      <w:br/>
    </w:r>
    <w:r w:rsidR="00000000" w:rsidRPr="00000000" w:rsidDel="00000000">
      <w:rPr>
        <w:rtl w:val="0"/>
      </w:rPr>
      <w:t xml:space="preserve">Izdrukāts 29.07.2026. 21.10 - 2.0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anotācija_(ex_ante)_26-TA-826.docx</dc:title>
</cp:coreProperties>
</file>

<file path=docProps/custom.xml><?xml version="1.0" encoding="utf-8"?>
<Properties xmlns="http://schemas.openxmlformats.org/officeDocument/2006/custom-properties" xmlns:vt="http://schemas.openxmlformats.org/officeDocument/2006/docPropsVTypes"/>
</file>