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2020. gada 13. augusta rīkojumā Nr. 442 "Par Satiksmes ministrijas ilgtermiņa saistībām valsts galvenā autoceļa "E67/A7 Ķekavas apvedceļš" publiskās un privātās partnerības projekta īstenošanai un par nacionālo interešu objekta statusa noteikšanu Ķekavas apvedceļa publiskās un privātās partnerības projekta infrastruktūrai""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(turpmāk – rīkojuma projekts) izstrādāts, izpildot Ministru kabineta 2020. gada 13. augusta rīkojumā Nr. 442 “Par Satiksmes ministrijas ilgtermiņa saistībām valsts galvenā autoceļa “E67/A7 Ķekavas apvedceļš” publiskās un privātās partnerības projekta īstenošanai un par nacionālo interešu objekta statusa noteikšanu Ķekavas apvedceļa publiskās un privātās partnerības projekta infrastruktūrai” (turpmāk – Rīkojums) dotos uzdevumus un izpildes rezultātā precizējot Rīkojumā noteikto bruto pieejamības maksājumu un pievienotās vērtības nodokļa maksājumu sadalījumu pa gadiem atbilstoši valsts galvenā autoceļa “E67/A7 Ķekavas apvedceļš” projekta (turpmāk – Projekts) īstenošanas faktiskajai izpildei.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projekta mērķis ir precizēt Rīkojumā noteikto bruto pieejamības maksājumu un pievienotās vērtības nodokļa maksājumu sadalījumu pa gadiem atbilstoši Projekta īstenošanas faktiskajai izpildei.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Rīkojumā, kas pieņemts 2020. gada 13. augustā, noteikts, ka Satiksmes ministrija laikā no 2021.gada līdz 2043.gadam drīkst uzņemties ilgtermiņa saistības Projekta īstenošanai, kur apjoms Rīkojuma izdošanas brīdī definēts, pamatojoties uz iepirkumā par uzvarētāju atzītā Pretendenta piedāvājumu un piedāvājumā definētajiem pieņēmumiem, tostarp, ka publiskās un privātās partnerības līgums tiks noslēgts 2021.gada martā, bet būvdarbi tiks uzsākti 2021.gada vasaras sezonā, attiecīgi paredzot tādus darbus PPP līguma izpildē un tādu būvdarbu perioda naudas plūsmu, kas atbilst attiecīgajai būvniecības sezonai.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Publiskās – privātās partnerības līgums Nr. SM2021/-26 “Par E67/A7 Rīga – Bauska – Lietuvas robeža (Grenctāle) posma 7,9 – 25,0 km (Ķekavas apvedceļa)  projektēšanu, būvniecību, finansēšanu un uzturēšanu” (turpmāk – PPP līgums) tika noslēgts 2021.gada 16.jūlijā.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(1) PPP līguma noslēgšanas dienā spēkā esošo starpbanku aizņemšanās likmi (Euribor) un procentu mijmaiņas darījumu likmi (angļu val. – </w:t>
      </w:r>
      <w:r w:rsidR="00000000" w:rsidRPr="00000000" w:rsidDel="00000000">
        <w:rPr>
          <w:i w:val="1"/>
          <w:rtl w:val="0"/>
        </w:rPr>
        <w:t xml:space="preserve">interest rate swap</w:t>
      </w:r>
      <w:r w:rsidR="00000000" w:rsidRPr="00000000" w:rsidDel="00000000">
        <w:rPr>
          <w:rtl w:val="0"/>
        </w:rPr>
        <w:t xml:space="preserve">), (2) PPP līguma noslēgšanas datumu, no tā izrietošo Projektā ietilpstošo būvniecības perioda plānoto darbu grafiku un naudas plūsmu, no kā, savukārt izriet būvdarbu izmaksu pievienotās vērtības nodokļa apmērs, kuru publiskais partneris iemaksā valsts budžetā atbilstoši apgrieztajai pievienotās vērtības nodokļa maksāšanas kārtībai, ar Ministru kabineta 2021.gada 21.decembra rīkojumu Nr.977 tika pieņemti grozījumi Rīkojumā, nosakot precizētas bruto pieejamības maksājumu kopsummu un pievienotās vērības nodokļa kopsummu Projekta īstenošanai, kā arī to sadalījumu pa gadiem, balstoties uz privātā partnera koriģēto Projekta ieviešanas grafiku un naudas plūsmu uz PPP līguma noslēgšanas dienu.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PPP līguma nosacījumiem privātais partneris sniedz publiskajam partnerim, proti, VSIA “Latvijas Valsts ceļi” regulārus pievienotās vērtības nodokļa aktus, kuros privātais partneris norāda faktiski izpildīto Ķekavas apvedceļa būvdarbu vērtību. No PPP līguma uzsākšanas dienas 2021.gada 16.jūlijā līdz 2022.gada 30.septembrim saņemti pievienotās vērtības nodokļa akti par izpildīto būvdarbu apjomu 64 353 205 euro vērtībā. Salīdzinot ar privātā partnera plānoto naudas plūsmu PPP līguma noslēgšanas brīdī, iepriekš minētajā pārskata periodā kapitālieguldījumu novirze (samazinājums) no sākotnēji plānotā ir 12 381 716 euro, jeb 16% no plānotā. Šī novirze attiecīgi ietekmē valsts budžetā atbilstoši apgrieztajai pievienotās vērtības nodokļa maksāšanas kārtībai maksājamā pievienotās vērtības nodokļa apmēru par projektēšanas darbu un būvdarbu proporcionālo daļu attiecīgajā periodā.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faktisko situāciju, nepieciešams precizēt Satiksmes ministrijai valsts budžeta apakšprogrammā 23.06.00 “Valsts autoceļu uzturēšana un atjaunošana” noteiktās saistības pa gadiem, nemainot Rīkojumā noteikto ilgtermiņa saistību kopsummu.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Neveicot Rīkojuma grozījumus, tiks negatīvi ietekmēts valsts īstermiņa un vidēja termiņa budžeta plānošanas process un Satiksmes ministrijas spēja segt saistības, jo atbilstoši faktiskajam būvdarbu apjomam PPP līguma ietvaros veidojas mazāki pievienotās vērtības nodokļa apmēri par 2021. un 2022.gadu, savukārt 2023.gadā paredzams iztrūkums pievienotās vērtības nodokļa nomaksai atbilstoši apgrieztajai pievienotās vērtības nodokļa maksāšanas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PPP līgums paredz, ka būvdarbi ir jāpabeidz līdz 2023.gada 14.oktobrim un, nenodrošinot infrastruktūras pieejamību šajā datumā, tiks piemēroti atskaitījumi no bruto pieejamības maksājuma, pašlaik nav pamata uzskatīt, ka kopējais būvdarbu izpildes termiņš varētu tikt kavēts vai ka izpildes apjomi varētu būt mazāki, nekā paredz PPP līgums. Līdz ar to būvdarbu apjomi, kas nav realizēti laikā no PPP līguma noslēgšanas dienas līdz 2022.gada 30.septembrim, tiks īstenoti 2023.gadā, radot nepieciešamību pēc līdzekļiem pievienotās vērtības nodokļa nomaksai atbilstoši apgrieztajai pievienotās vērtības nodokļa maksāšanas kārtībai.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Rīkojumā noteikto bruto pieejamības maksājumu un pievienotās vērtības nodokļa maksājumu sadalījumu pa gadiem, netiek mainīta Rīkojumā noteikto ilgtermiņa saistību kopsumma.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Pievienotās vērtības nodokļa nomaksa atbilstoši apgrieztajai pievienotās vērtības nodokļa maksāšanas kārtībai uzskatāma par budžeta neitrālu darbību.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Precizējot plānoto naudas plūsmu bruto pieejamības maksājumiem, attiecībā uz 2023. gadu konstatējama pozitīva ietekmē (līdzekļi maksājumiem 2023. gadā nav jāparedz, jo maksājums par infrastruktūras pieejamību laikā no 2023.gada 14.oktobra līdz 2023.gada 31.decembrim būs jāveic nākamajā gadā, proti, 2024.gadā.).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17 469 482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-1 921 337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8 682 473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13 139 131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-726 884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17 469 482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-1 921 337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8 682 473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13 139 131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-726 884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17 469 482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-1 921 337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8 682 473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13 139 131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-726 884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17 469 482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-1 921 337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8 682 473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195 325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13 139 131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-726 884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2022.gadam plāns norādīts, ņemot vērā veiktās apropriācijas izmaiņas 2022.gada ietvaros (pārdale no budžeta programmas "Apropriācijas rezerves"), savukārt 2023., 2024. un 2025.gadam norādīts plāns saskaņā ar veiktajām izmaiņām saistībās, ņemot vērā ar MK 21.12.2021. rīkojumu Nr.977 veiktos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Izdevumu aprēķinu pamato noslēgtais PPP līgums un faktiski izpildīto būvdarbu apjoms laika periodā no PPP Līguma noslēgšanas dienas 2021. gada 16. jūlijā līdz 2022. gada 30. septembrim, pamatojoties uz privātā partnera iesniegtajiem pievienotās vērtības nodokļa aktiem.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Bruto pieejamības maksājumu un pievienotās vērtības nodokļa maksājumu kopsummas pa gadiem precizētas sekojoši: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 gadā: 1 223 576 euro valsts budžetā maksājamais pievienotās vērtības nodoklis atbilstoši apgrieztajai pievienotās vērtības nodokļa maksāšanas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2022. gadā: 15 548 145 euro valsts budžetā maksājamais pievienotās vērtības nodoklis  atbilstoši apgrieztajai pievienotās vērtības nodokļa maksāšanas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2023. gadā: 8 877 798 euro valsts budžetā maksājamais pievienotās vērtības nodoklis  atbilstoši apgrieztajai pievienotās vērtības nodokļa maksāšanas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 gadā: 11 849 396 euro bruto pieejamības maksājuma segšanai, kā arī 562 851 euro valsts budžetā maksājamais pievienotās vērtības nodoklis  atbilstoši apgrieztajai pievienotās vērtības nodokļa maksāšanas kārtībai;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 ar 2025. gadu līdz 2043. gadam katru gadu – 12 541 216 euro bruto pieejamības maksājuma segšanai, kā arī  597 915 euro valsts budžetā maksājamais pievienotās vērtības nodoklis  atbilstoši apgrieztajai pievienotās vērtības nodokļa maksāšanas kārtībai.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2021.gadā neizmantotais finansējums tika saglabāts kā slēgtais asignējums.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-Izmaiņas PVN ieņēmumos, </w:t>
            </w:r>
            <w:r w:rsidR="00000000" w:rsidRPr="00000000" w:rsidDel="00000000">
              <w:rPr>
                <w:sz w:val="24"/>
                <w:b w:val="1"/>
                <w:i w:val="1"/>
                <w:rtl w:val="0"/>
              </w:rPr>
              <w:t xml:space="preserve">euro</w:t>
            </w:r>
            <w:r w:rsidR="00000000" w:rsidRPr="00000000" w:rsidDel="00000000">
              <w:rPr>
                <w:sz w:val="24"/>
                <w:b w:val="1"/>
                <w:rtl w:val="0"/>
              </w:rPr>
              <w:t xml:space="preserve">:</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12"/>
              <w:gridCol w:w="1912"/>
              <w:gridCol w:w="1912"/>
              <w:gridCol w:w="1912"/>
              <w:tblGridChange w:id="0">
                <w:tblGrid>
                  <w:gridCol w:w="1912"/>
                  <w:gridCol w:w="1912"/>
                  <w:gridCol w:w="1912"/>
                  <w:gridCol w:w="191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Gads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Plānotais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Precizētais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Izmaiņas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2 055 471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1 223 576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-831 895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17 469 482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15 548 145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-1 921 337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6 238 981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8 877 798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2 638 817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597 915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562 851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-35 064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2025.-2042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597 915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597 915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1 103 196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597 915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-505 281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Izmaiņas dotācijā bruto pieejamības maksājumiem, </w:t>
            </w:r>
            <w:r w:rsidR="00000000" w:rsidRPr="00000000" w:rsidDel="00000000">
              <w:rPr>
                <w:sz w:val="24"/>
                <w:b w:val="1"/>
                <w:i w:val="1"/>
                <w:rtl w:val="0"/>
              </w:rPr>
              <w:t xml:space="preserve">euro</w:t>
            </w:r>
            <w:r w:rsidR="00000000" w:rsidRPr="00000000" w:rsidDel="00000000">
              <w:rPr>
                <w:sz w:val="24"/>
                <w:b w:val="1"/>
                <w:rtl w:val="0"/>
              </w:rPr>
              <w:t xml:space="preserve">:</w:t>
            </w:r>
            <w:r w:rsidR="00000000" w:rsidRPr="00000000" w:rsidDel="00000000">
              <w:rPr>
                <w:sz w:val="24"/>
                <w:rtl w:val="0"/>
              </w:rPr>
              <w:t xml:space="preserve">
</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41"/>
              <w:gridCol w:w="1970"/>
              <w:gridCol w:w="1983"/>
              <w:gridCol w:w="1854"/>
              <w:tblGridChange w:id="0">
                <w:tblGrid>
                  <w:gridCol w:w="1841"/>
                  <w:gridCol w:w="1970"/>
                  <w:gridCol w:w="1983"/>
                  <w:gridCol w:w="1854"/>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Gads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Plānotās dotācijas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Precizētās dotācijas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Izmaiņas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2 443 492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-2 443 492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12 541 216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11 849 396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-691 820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2025.-2042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12 541 216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12 541 216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9 405 904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12 541 216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3 135 312</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Anotācijas 3. sadaļas 1. punktā izmaiņas ieņēmumos ir salīdzinātas kā izmaiņas gan PVN ieņēmumos, gan dotācijā pieejamības maksājumiem, tāpēc ieņēmumu izmaiņas ir šajā punktā norādīto tabulu kopsumma attiecīgajā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-Izmaiņas projekta izdevumos, t.sk., PVN, </w:t>
            </w:r>
            <w:r w:rsidR="00000000" w:rsidRPr="00000000" w:rsidDel="00000000">
              <w:rPr>
                <w:sz w:val="24"/>
                <w:b w:val="1"/>
                <w:i w:val="1"/>
                <w:rtl w:val="0"/>
              </w:rPr>
              <w:t xml:space="preserve">euro</w:t>
            </w:r>
            <w:r w:rsidR="00000000" w:rsidRPr="00000000" w:rsidDel="00000000">
              <w:rPr>
                <w:sz w:val="24"/>
                <w:b w:val="1"/>
                <w:rtl w:val="0"/>
              </w:rPr>
              <w:t xml:space="preserve">:</w:t>
            </w:r>
          </w:p>
          <w:tbl>
            <w:tblPr>
              <w:tblStyle w:val="DefaultTable"/>
              <w:bidiVisual w:val="0"/>
              <w:tblW w:w="825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912"/>
              <w:gridCol w:w="1912"/>
              <w:gridCol w:w="1912"/>
              <w:gridCol w:w="1912"/>
              <w:tblGridChange w:id="0">
                <w:tblGrid>
                  <w:gridCol w:w="1912"/>
                  <w:gridCol w:w="1912"/>
                  <w:gridCol w:w="1912"/>
                  <w:gridCol w:w="191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Gads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Plānotie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Precizētie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Izmaiņas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2 055 471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1 223 576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-831 895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17 469 482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15 548 145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-1 921 337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8 682 473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8 877 798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195 325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13 139 31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12 412 247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-726 884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2025.-2042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13 139 131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13 139 131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2043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10 509 100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13 139 131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2 630 031</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Anotācijas 3.sadaļas 2.punktā atspoguļotās izmaiņas izdevumos ir plānotā PVN un dotācijas pieejamības maksājumiem kopsumma attiecīgajā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attiecināms.</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izstrādē iesaistītās institūcijas - Satiksmes ministrija u 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apvedceļa projektam sabiedrības līdzdalības process veikts ietekmes uz vidi novērtēšanas procesā, kura sabiedrības līdzdalības procesā saņemto priekšlikumu izvērtējums atrodams aktuālā ziņojuma 10. nodaļā "PĀRSKATS PAR SABIEDRĪBAS LĪDZDALĪBAS PASĀKUMIEM UN SABIEDRĪBAS IESNIEGTAJIEM PRIEKŠLIKUMIEM" (sākot no 201.lpp) - https://lvceli.lv/wp-content/uploads/2020/09/IVN-Zinojums_Aktuala-versija.pdf.</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Satiksmes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VSIA "Latvijas Valsts ceļi"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2016.gada 10.martā Ministru kabinets izdeva rīkojumu Nr. 172 “Par valsts galvenā autoceļa projekta “E67/A7 Ķekavas apvedceļš” publiskās un privātās partnerības iepirkuma procedūras uzsākšanu”, tādejādi uzsākot Ķekavas apvedceļa projekta īstenošanu. Minētais rīkojums izdots saskaņā 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Latvijas Nacionālā attīstības plāna 2014.-2020. gadam rīcības virzienu "Pakalpojumu pieejamība līdzvērtīgāku darba iespēju un dzīves apstākļu radīšanai"; tā uzdevums - nozīmīgāko transporta koridoru infrastruktūras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Transporta attīstības pamatnostādņu 2014.-2020. gadam 7. nodaļu "Turpmākās rīcības plānojums"; tās 1.2.1. pasākums "TEN-T tīklā esošo autoceļu atjaunošana un attīstība".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PPP projekta īstenošana noris saskaņā ar 07.05.2019. apstiprināto Valdības rīcības plānu Deklarācijas par Artura Krišjāņa Kariņa vadītā Ministru kabineta iecerēto darbību īstenošanai (turpmāk - Valdības rīcības plāns). Valdības rīcības plāna dklarācijas sadaļa un rīcības joma: Nākotnes tautsaimniecība. Gudra transporta politika, uzdevums Nr. 089: Turpināt publiskās un privātās partnerības projekta "E67/A7 Ķekavas apvedceļš" īstenošanu, darbības rezultāts: Publiskās un privātās partnerības projektā "E67/A7 Ķekavas apvedceļš" īstenota projektēšanas stadija un uzsākta būvniecības stadija.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Ķekavas apvedceļš pēc izbūves kļūs par jauno autoceļa Rīga – Bauska – Lietuvas robeža (Grenctāle) (A7) posmu no 7,78 km – 25,0 km, kā arī  par daļu no starptautiskā autoceļa E67 Via Baltica (Helsinki – Tallina – Rīga – Panevēža – Kauņa – Varšava – Prāga) un ietilps TEN-T tīklā. Ķekavas apvedceļš ietver pamattrasi, paralēlos ceļus, infrastruktūras aprīkojumu, citas inženierbūves, kuras nepieciešamas pamattrases un paralēlo ceļu pilnvērtīgai funkcionēšanai. Minētā infrastruktūra pilnā apmērā izvietota Ķekavas novada teritorijā. Ķekavas apvedceļa izbūve nodrošina plašas novada attīstības iespējas saskaņā ar tās teritorijas plānojumu.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22-TA-3450</w:t>
    </w:r>
    <w:r>
      <w:br/>
    </w:r>
    <w:r w:rsidR="00000000" w:rsidRPr="00000000" w:rsidDel="00000000">
      <w:rPr>
        <w:rtl w:val="0"/>
      </w:rPr>
      <w:t xml:space="preserve">Izdrukāts 29.07.2026. 21.18 - 2.0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22-TA-3450</w:t>
    </w:r>
    <w:r>
      <w:br/>
    </w:r>
    <w:r w:rsidR="00000000" w:rsidRPr="00000000" w:rsidDel="00000000">
      <w:rPr>
        <w:rtl w:val="0"/>
      </w:rPr>
      <w:t xml:space="preserve">Izdrukāts 29.07.2026. 21.18 - 2.0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anotācija_(ex_ante)_22-TA-3450.docx</dc:title>
</cp:coreProperties>
</file>

<file path=docProps/custom.xml><?xml version="1.0" encoding="utf-8"?>
<Properties xmlns="http://schemas.openxmlformats.org/officeDocument/2006/custom-properties" xmlns:vt="http://schemas.openxmlformats.org/officeDocument/2006/docPropsVTypes"/>
</file>