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MK noteikumu projekts) izstrādāts, lai veiktu tehniskus precizējumus, lai novērstu normu interpretēšanas riskus, kā arī nodrošinātu pārizdotās </w:t>
      </w:r>
      <w:r w:rsidR="00000000" w:rsidRPr="00000000" w:rsidDel="00000000">
        <w:rPr>
          <w:i w:val="1"/>
          <w:rtl w:val="0"/>
        </w:rPr>
        <w:t xml:space="preserve">de minimis </w:t>
      </w:r>
      <w:r w:rsidR="00000000" w:rsidRPr="00000000" w:rsidDel="00000000">
        <w:rPr>
          <w:rtl w:val="0"/>
        </w:rPr>
        <w:t xml:space="preserve">regulas normu iekļaušanu un precizētu atbalstāmās un neatbalstāmās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atbalstāmās darbības un attiecināmas izmaksas, lai nodrošinātu pilnvērtīgu investīcijas ieviešanu, kā arī pārņemt jaunās </w:t>
      </w:r>
      <w:r w:rsidR="00000000" w:rsidRPr="00000000" w:rsidDel="00000000">
        <w:rPr>
          <w:i w:val="1"/>
          <w:rtl w:val="0"/>
        </w:rPr>
        <w:t xml:space="preserve">de minimis</w:t>
      </w:r>
      <w:r w:rsidR="00000000" w:rsidRPr="00000000" w:rsidDel="00000000">
        <w:rPr>
          <w:rtl w:val="0"/>
        </w:rPr>
        <w:t xml:space="preserve"> regulas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24. oktobrī apstiprināja Ministru kabineta noteikumus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Noteikumi Nr. 609), kuru mērķis ir nodrošināt finansējumu sadarbības tīklu dalībnieku internacionalizācijai un privāto pētniecības un attīstības investīciju apjoma palielināšanai. Atbalsta programma paredz sniegt sīkiem (mikro), maziem, vidējiem un lieliem komersantiem, tai skaitā valsts kapitālsabiedrībām un pētniecības un zināšanu izplatīšanas organizācijām atbalstu līdz 50 000 </w:t>
      </w:r>
      <w:r w:rsidR="00000000" w:rsidRPr="00000000" w:rsidDel="00000000">
        <w:rPr>
          <w:i w:val="1"/>
          <w:rtl w:val="0"/>
        </w:rPr>
        <w:t xml:space="preserve">euro </w:t>
      </w:r>
      <w:r w:rsidR="00000000" w:rsidRPr="00000000" w:rsidDel="00000000">
        <w:rPr>
          <w:rtl w:val="0"/>
        </w:rPr>
        <w:t xml:space="preserve">(sadarbības veicināšanai starp komersantiem un pētniecības un zināšanu izplatīšanas organizācijām, jaunu produktu mērogošanai, izcilības veicināšanai uzņēmējdarbībā un pasākumiem nozares popularizēšanai u.c. aktivitātēm).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609 iekļautas </w:t>
      </w:r>
      <w:r w:rsidR="00000000" w:rsidRPr="00000000" w:rsidDel="00000000">
        <w:rPr>
          <w:i w:val="1"/>
          <w:rtl w:val="0"/>
        </w:rPr>
        <w:t xml:space="preserve">de minimis </w:t>
      </w:r>
      <w:r w:rsidR="00000000" w:rsidRPr="00000000" w:rsidDel="00000000">
        <w:rPr>
          <w:rtl w:val="0"/>
        </w:rPr>
        <w:t xml:space="preserve">atbalsta normas, kuras 2023. gada 31.decembrī zaudējušas spēku, lai nodrošinātu atbilstošu atbalsta sniegšanu, nepieciešams precizēt </w:t>
      </w:r>
      <w:r w:rsidR="00000000" w:rsidRPr="00000000" w:rsidDel="00000000">
        <w:rPr>
          <w:i w:val="1"/>
          <w:rtl w:val="0"/>
        </w:rPr>
        <w:t xml:space="preserve">de minimis</w:t>
      </w:r>
      <w:r w:rsidR="00000000" w:rsidRPr="00000000" w:rsidDel="00000000">
        <w:rPr>
          <w:rtl w:val="0"/>
        </w:rPr>
        <w:t xml:space="preserve"> atbalsta nosacījumus atbilstoši pārizdotajai </w:t>
      </w:r>
      <w:r w:rsidR="00000000" w:rsidRPr="00000000" w:rsidDel="00000000">
        <w:rPr>
          <w:i w:val="1"/>
          <w:rtl w:val="0"/>
        </w:rPr>
        <w:t xml:space="preserve">de minimis</w:t>
      </w:r>
      <w:r w:rsidR="00000000" w:rsidRPr="00000000" w:rsidDel="00000000">
        <w:rPr>
          <w:rtl w:val="0"/>
        </w:rPr>
        <w:t xml:space="preserve"> regulai. Vienlaikus, lai nodrošinātu pilnvērtīgu atbalsta programmas ieviešanu, nepieciešams precizēt atbalstāmās darbības un attiecināmās izmaksas.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(turpmāk - nozares ministrija) ierosinājuma un nozares asociāciju priekšlikumiem </w:t>
      </w:r>
      <w:r w:rsidR="00000000" w:rsidRPr="00000000" w:rsidDel="00000000">
        <w:rPr>
          <w:b w:val="1"/>
          <w:rtl w:val="0"/>
        </w:rPr>
        <w:t xml:space="preserve">MK noteikumu projekts paredz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pārņemt jaunās </w:t>
      </w:r>
      <w:r w:rsidR="00000000" w:rsidRPr="00000000" w:rsidDel="00000000">
        <w:rPr>
          <w:b w:val="1"/>
          <w:i w:val="1"/>
          <w:rtl w:val="0"/>
        </w:rPr>
        <w:t xml:space="preserve">de minimis</w:t>
      </w:r>
      <w:r w:rsidR="00000000" w:rsidRPr="00000000" w:rsidDel="00000000">
        <w:rPr>
          <w:b w:val="1"/>
          <w:rtl w:val="0"/>
        </w:rPr>
        <w:t xml:space="preserve"> regulas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(Eiropas Savienības Oficiālais Vēstnesis, 2013. gada 24. decembris, Nr. L 352/1) (turpmāk – Komisijas Regula Nr. 1407/2013) ar 2023. gada 31. decembri izbeidz savu darbību un ar 2024. gada 1. 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Lai nodrošinātu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ar MK noteikumu projektu tiek veikti precizējumi.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3.panta otro daļu var sasniegt 300 000 </w:t>
      </w:r>
      <w:r w:rsidR="00000000" w:rsidRPr="00000000" w:rsidDel="00000000">
        <w:rPr>
          <w:i w:val="1"/>
          <w:rtl w:val="0"/>
        </w:rPr>
        <w:t xml:space="preserve">euro</w:t>
      </w:r>
      <w:r w:rsidR="00000000" w:rsidRPr="00000000" w:rsidDel="00000000">
        <w:rPr>
          <w:rtl w:val="0"/>
        </w:rPr>
        <w:t xml:space="preserve">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atbilstošu Komisijas Regula Nr. 2023/2831 piemērošanu un skaidru tiesību normu piemērošanu Noteikumi Nr. 609 papildināti ar jaunu punktu, kas paredz, ka komercdarbības atbalstu drīkst piešķirt tikai tad, ja tiek skaidri nodalītas atbalstāmās darbības, gan ar to īstenošanu saistītās finanšu plūsmas no citu darbības nozaru darbībām un finanšu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papildināt atbalstāmo darbības un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nozares ministrijas diskusijām ar uzņēmumus pārstāvošajām organizācijām tika konstatēts, ka pilnvērtīgai sadarbības tīklu konkurētspējas nodrošināšanai un Latvijas tēla popularizēšanai nepieciešams papildināt atbalstāmās darbības ar jaunu produktu sertificēšanu un starptautisku izstāžu un pasākumu organizēšanu. Precizētās atbalstāmās darbības nodrošinās efektīvāku jaunu produktu mērogošanu procesu programmas ietvaros, ņemot vērā, ka jaunu produktu sertificēšana ir svarīgs posms, lai īstenotu citas aktivitātes, kā piemēram, jaunu biznesa kontaktu meklēšana un veidošana. Vienlaikus, starptautisku izstāžu un pasākumu organizēšana viedās specializācijas jomā, sniegs nozīmīgu pienesumu sadarbības tīklu programmas popularizēšanai un kopējai internacionalizācijas un sadarbības veicināšanai. Minēto atbalstāmo darbību īstenošanai ir šādas attiecināmās izmaksas - jaunu produktu sertificēšanas izmaksas un izmaksas, kas iekļautas Noteikumu Nr. 609  42.1.8. un 42.2.2.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papildināt sadarbības tīkla uzkrājamo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sadarbības tīkla sasniegto rezultātu izvērtējumu, tai skaitā viedās specializācijas jomu monitoringu, Noteikumu Nr. 609 papildināti ar šādiem uzkrājamajiem datiem: jaunradīto tehnoloģiju skaits, jaunradīto produktu (preces un pakalpojumi, kas nav tehnoloģijas) skaits, patentu un patentu pieteikumu skaits, licences un licences līgumu skaits, preču zīmju (ieskaitot kolektīvās zīmes) un sertifikācijas zīmju skaits, reģistrētu dizainparaugu skaits. Vienlaikus, lai atvieglotu informācijas apriti, sadarbības tīkls uzkrātos datus iesniedz Kohēzijas politikas vadības informācijas sistēmā kopā ar progresa pārskatiem, nodrošinot informācijas periodiskumu un vieglu pieejamību. Nozares ministrija minētos datus izmanos ikgadējā monitoringa sagatavošanā, tādējādi vērtējot Nacionālās industriālās politikas 2021.-2027.gadam īstenošanas gaitu un turpmāk attīstāmos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precizēt principa "nenodarīt būtisku kaitējumu" nosacījumu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principam "nenodarīt būtisku kaitējumu" un piemērotu vienādas prasības visās nozares ministrijas izstrādātajās atbalsta programmās Noteikumi Nr. 609 papildināti ar diviem jauniem apakšpunktiem: "darbības, kas saistītas ar fosilo kurināmo, tostarp tā pakārtota izmantošana, tai skaitā projektus elektroenerģijas vai siltuma ražošanā, kā arī saistīto pārvades un sadales infrastruktūru, izmantojot dabasgāzi" un "darbībām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 Minētie nosacījumi ir apstiprināti līdz ar Noteikumu Nr. 609 apstiprināšanu (41.punktā), bet ar MK Noteikumu projektu tie tiek integrēti Noteikumu Nr.609 24.punktā.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papildināt nozares ministrijas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caurspīdīgāku un efektīvāku investīcijas uzraudzību un sekmētu risku novēršanu, nozares ministrijai ir tiesības veikt vismaz vienu uz risku novērtējumu balstītu uzraudzības pārbaudi. Noteikumi Nr. 609 papildināti ar jaunu punktu: "Nozares ministrijai ir tiesības veikt uz risku novērtējumu balstītu vismaz vienu uzraudzības pārbaudi līdz 2026. gada 31. martam, pārbaudot, vai šo noteikumu īstenošanā nav konstatējamas pazīmes, kas liecina par pieļautu vai iespējamu interešu konflikta, korupcijas, krāpšanas vai dubultā finansējuma situāciju, kā arī pārbaudot projektā noteiktos atskaites punktu, šo noteikumu 15. punktā minēto mērķi un uzraudzības rādītājus, tai skaitā datu ticamību, ar mērķi veikt šo noteikumu iekšējās kontroles sistēmas īstenošanas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tehniskos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 </w:t>
      </w:r>
      <w:r w:rsidR="00000000" w:rsidRPr="00000000" w:rsidDel="00000000">
        <w:rPr>
          <w:rtl w:val="0"/>
        </w:rPr>
        <w:t xml:space="preserve">atbilstoši Latvijas Atveseļošanas fonda plāna Darbības kārtībā noteiktajiem mērķiem un uzraudzības rādītājiem precizēti Noteikumu Nr. 609 15.1. un 15.2. apakšpunkti, mainīti vārdi "piešķirt aģentūras atbalstu" uz "apstiprinātas saistības" un precizēts mērķa un uzraudzības rādītāja sasniegšanas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citu Ministru kabineta noteikumu saskaņošanas procesā saņemtajiem norādījumiem precizēts Noteikumu Nr. 609 25. punkts, dzēšot vārdus "neapstrīdams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nodrošinot skaidrākas tiesību normas, precizēts Noteikumu Nr. 609 21.8. apakšpunkts, pievienojot atsauci uz Zinātnisko institūciju reģistru.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nodrošinot skaidrākas tiesību normas precizēti Noteikumu Nr. 609 39.6.1., 39.6.2., 39.6.3. un 42.1.11. apakšpunkti, aizstājot vārdu "inovāciju" ar vārdiem "sadarbības veicināšanas". Noteikumu projekta ietvaros atbalstu plānots sniegt sadarbības tīkla izcilības veicināšanai uzņēmējdarbībā, tai skaitā konsultāciju saņemšanu, pārstāvniecības nodrošināšanu un konsultāciju saņemšanu par projektu pieteikumu sagatavošanu, tādas atbalsta programmās, kas uzskatītas Noteikumu Nr. 609 39.6.1., 39.6.2. un 39.6.3. apakšpunktos, kā ar līdzīgās Eiropas Savienības līmeņa inovāciju programmās, ar ko saprotama iesaiste Eiropas Savienības līmeņa sadarbības veicināšanas programmās, kā piemēram, Interreg, LIFE u.c., nevis Latvijas līmeņa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 Noteikumu Nr. 609 41.8., 41.9. un 41.10. apakšpunktus, ņemot vērā, ka atbalsts Noteikumu Nr. 609 ietvaros tiek sniegts atbilstoši Komisijas regulai Nr. 2023/2831 un tajā iekļautajām normām attiecībā uz atbalstāmajām un neatbalstāmajām darbībām. Attiecīgi, neatbalstāmās darbības, kas noteiktas Komisijas 2014. gada 17. jūnija Regulas (ES) Nr. 651/2014, ar ko noteiktas atbalsta kategorijas atzīst par saderīgām ar iekšējo tirgu, piemērojot Līguma 107. un 108. pantu 1. panta 2. un 3. punktā un 13. pantā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 </w:t>
      </w:r>
      <w:r w:rsidR="00000000" w:rsidRPr="00000000" w:rsidDel="00000000">
        <w:rPr>
          <w:rtl w:val="0"/>
        </w:rPr>
        <w:t xml:space="preserve">precizēts Noteikumu Nr. 609 47. punkts, nodrošinot, ka attiecināmo izmaksu ierobežojums projekta vadības un administrēšanas izmaksām - 30 procenti, tiek piemērots arī iepērkot pakalpojumu ārpakalpojumā;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precizēts Noteikumu Nr. 609 56.6.3. apakšpunkts, pievienojot atsauci uz MK noteikumu projekta 41.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neietekmēs projektu atlasi un atbalsta sniegšana vēl nav uzsākta.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(biedrība vai nodibinājums)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internacionalizācijai un privāto pētniecības un attīstības investīciju apjoma 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vērsts uz pārizdotās de minimis regulas normu pārņemšanu atbalsta sniegšanā, vienlaikus, veicot precizējumus atbalstāmajās darbībās un attiecināmajās izmaksās. MK noteikumu projekts ietvaros netiek plānota būtisku ietekme uz tautsaimniecību. MK noteikumu projekta ietvaros plānotie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atbalstīti vismaz 12 projekta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nefinanšu atbalstu saņēmušo komersantu skaits - 400;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nodrošināts eksporta apjoma pieaugums atbalstītajos uzņēmumos divus gadus pēc atbalsta saņemšanas 100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organizētas 1000 vizītes pie sadarbības partneriem, t.sk., tirdzniecības 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veikti vismaz 60 tirgus pētījumi.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mazajiem, vidējiem un lieliem uzņēmumiem, nodrošinot valsts atbalsta saņemšanas iespējas, kas nepieciešamas internacionalizācijai un privāto pētniecības un attīstības investīciju apjoma palielināšanai. 5.1.1.2.i. investīcijas trešās kārtas ietvaros sīkajiem (mikro), mazajiem, vidējiem un lielajiem komersantiem, tai skaitā kapitālsabiedrībām un pētniecības un zināšanu izplatīšanas organizācijām ir iespējams saņemt atbalstu, kas sekmētu sadarbības tīkla dalībnieku eksporta apjoma un eksportspējas palielināšanos.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internacionalizācijai un privāto pētniecības un attīstības investīciju apjoma palielināšanai. Tiek plānots, ka MK noteikumu projekta ietvaros tiks atbalstīti vismaz 12 projekta pieteikumi, nefinanšu atbalstu saņēmušo komersantu skaits būs vismaz 400, tāpat nodrošināts eksporta apjoma pieaugums atbalstītajos uzņēmumos divus gadus pēc atbalsta saņemšanas 100 milj. </w:t>
      </w:r>
      <w:r w:rsidR="00000000" w:rsidRPr="00000000" w:rsidDel="00000000">
        <w:rPr>
          <w:i w:val="1"/>
          <w:rtl w:val="0"/>
        </w:rPr>
        <w:t xml:space="preserve">euro </w:t>
      </w:r>
      <w:r w:rsidR="00000000" w:rsidRPr="00000000" w:rsidDel="00000000">
        <w:rPr>
          <w:rtl w:val="0"/>
        </w:rPr>
        <w:t xml:space="preserve">apmērā, organizētas 1000 vizītes pie sadarbības partneriem, t.sk., tirdzniecības misijas un veikti vismaz 60 tirgus pētījumi.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projekta ietvaros būs iespējas izveidot jaunas darba vietas un saņemt par tām atbalstu, lai nodrošinātu jaunu produktu laišanu tirgū, tā būs pozitīva ietekme uz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iesniedzējs (biedrība vai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CFLA. Administratīvo izmaksu pamatojumam tiek ņemti vērā Centrālās statistikas pārvaldes 2022.gada dati "Vidējā neto darba samaksa" - 1372.70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16 472,40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5. panta 1. un 2. punkts, 3.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8. un 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Pārtikas uzņēmumu federācija, Latvijas Veselības Tūrisma Klasteris, Latvijas Drošības un aizsardzības industriju federācija, Mašīnbūves un metālapstrādes rūpniecības asociācija, LATVIJAS KOKA BŪVNIECĪBAS KLASTERIS, Latvijas Poligrāfijas uzņēmumu asociācija, Gaujas Nacionālā parka tūrisma biedrība, Zaļo un Viedo Tehnoloģiju Klasteris, AUTO ASOCIĀCIJA, Vieglās rūpniecības uzņēmumu asociācija, LATVIJAS LOĢISTIKAS ASOCIĀCIJA, RĪGAS TIRDZNIECĪBAS UN RŪPNIECĪBAS KAMERA, Latvijas Elektrotehnikas un elektronikas rūpniecības asociācija, Latvijas Ķīmijas un farmācijas uzņēmēju asociācija, Latvijas, Informācijas tehnoloģiju klasteris, CLEANTECH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12.01.2024 - 25.01.2024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radīt papildus administratīvo slogu. Vienlaikus noteikumu projekta ietvaros tiek paredzēta datu apmaiņa starp Centrālu finanšu un līgumu aģentūru un citām iesaistītajām valsts institūcijām, piemēram Iekšlietu ministrijas Informācijas centru par datu apmaiņu valsts informācijas sistēmā “Sodu reģistrs” esošo informāciju, tādējādi neradot papildus administratīvo slogu komersantiem.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23-TA-3294</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23-TA-3294</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anotācija_(ex_ante)_23-TA-3294.docx</dc:title>
</cp:coreProperties>
</file>

<file path=docProps/custom.xml><?xml version="1.0" encoding="utf-8"?>
<Properties xmlns="http://schemas.openxmlformats.org/officeDocument/2006/custom-properties" xmlns:vt="http://schemas.openxmlformats.org/officeDocument/2006/docPropsVTypes"/>
</file>