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pamatojoties uz Eiropas Savienības (turpmāk - ES)  fondu 2021.–2027. gada plānošanas perioda vadības likuma 19. panta 6. un 13. punktu, ir izstrādājusi Ministru kabineta (turpmāk – MK) noteikumu projektu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(turpmāk – pasākums) ceturtās (turpmāk – ceturtā atlases kārta) un piektās projektu iesniegumu atlases kārtas (turpmāk – piektā atlases kārta) (turpmāk – kopā ceturtā un piektā atlases kārta) īstenošanas noteikumi” (turpmāk – MK noteikumu projekts). MK noteikumu projekts nosaka pasākuma ceturtās un piektās atlases kārtas veidu, par pasākumu īstenošanu atbildīgo iestādi, pieejamo finansējumu, prasības projekta iesniedzējam, atbalstāmās darbības un izmaksas, komercdarbības atbalsta piešķiršanas nosacījumus, projekta īstenošanas nosacījumus un vienkāršoto izmaksu piemērošanas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izstrādāts ar mērķi mazināt vēsturiski radīto kaitējumu dabas resursiem pamestajās vēsturiskajās kūdras ieguves vietās, revitalizējot purvu, mežu, ūdenstilpju ekosistēmas un to funkcionalitāti, kā arī stiprinot to spēju piesaistīt oglekļa dioksīdu saskaņā ar revitalizācijas stratēģijām. Papildu piektās atlases kārtas mērķis ir veikt vēsturiski degradēto kūdras ieguves vietu revitalizāciju, ierīkojot ilggadīgos un paludikultūru stādījumus, lai samazinātu siltumnīcefekta gāzu emisijas un atgrieztu ekonomisko aktivitāti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Purvi jeb kūdrāji ir nozīmīga Latvijas dabas kapitāla daļa, kas vienlaikus sniedz ieguldījumu tautsaimniecībā un nodrošina sabiedrībai virkni vērtīgu ekosistēmu pakalpojumu. Tā ir vieta, kur iegūst pārtikā izmantojamas dabas veltes (ogas un ārstniecības augus), kalpo kā būtisks ūdens aprites regulators, samazinot plūdu riskus un uzturot gruntsūdens līmeni, ir nozīmīgas dzīvesvietas putniem un citām sugām, kas savukārt veicina bioloģisko daudzveidību un ekoloģisko līdzsvaru. Vienlaikus purvi darbojas arī kā nozīmīgs oglekļa krātuves un klimata regulētājs. Saskaņā ar Kūdras ilgtspējīgas izmantošanas pamatnostādnēm 2020.–2030. gadam (turpmāk – Pamatnostādnes) [1], kūdras atradnes Latvijas teritorijā aizņem ap 10–15% no valsts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kūdras ieguve Latvijā attīstījās kā nozīmīga tautsaimniecības nozare, jo kūdra tika izmantota gan kā kurināmais, gan kā izejviela lauksaimniecībā un dārzkopībā. Intensīvākā ieguve notika 20. gadsimta otrajā pusē, kad, paplašinoties enerģētikas un rūpniecības vajadzībām, tika izstrādātas plašas purvu teritorijas. Tomēr, samazinoties pieprasījumam pēc kūdras enerģētikā un mainoties tautsaimniecības struktūrai, daudzas ieguves vietas tika pamestas, neveicot konservācijas, atjaunošanas vai rekultivācijas darbus. Rezultātā Latvijā sastopamas lielas platības ar degradētām ekosistēmām, kurās purvu dabiskās funkcijas ir zudušas un kas kļuvušas par būtisku siltumnīcefekta gāzu (turpmāk – SEG) emisiju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Pamatnostādnēm par vēsturiskām kūdras ieguves vietām (turpmāk – VKIV) uzskata teritorijas, kur kādreiz ir notikusi kūdras ieguve, bet tā ir pārtraukta, kurās pašlaik nav spēkā esošas derīgo izrakteņu ieguves licences vai bieži sastopamo derīgo izrakteņu ieguves atļaujas derīgo izrakteņu ieguvei, kurai nav veikta vai uzsākta rekultivācija vai konservācija, kā arī kura nav izslēgta no derīgo izrakteņu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Pamatnostādnēs kopumā identificētas 190 VKIV teritorijas 26 232 hektāru (turpmāk – ha) platībā, no kurām 47% pieder pašvaldībām un privātpersonām. Līdz 2030. gadam Pamatnostādnes paredz izstrādāt pasākumu plānus VKIV revitalizācijai un uzsākt to īstenošanu, realizējot prioritārās darbības. Līdzīgas ieceres un mērķi noteikti arī Vides politikas pamatnostādnēs 2021.–2027. gadam [2], kur īpaša uzmanība pievērsta degradēto teritoriju atjaunošanai un ekosistēmu funkciju atgriešanai.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stratēģijā klimatneitralitātes sasniegšanai līdz 2050. gadam (turpmāk – Stratēģija) [3] ir noteikti divi galvenie priekšnosacījumi klimatneitralitātes sasniegšanai – SEG emisiju samazināšana visos tautsaimniecības sektoros un oglekļa dioksīda (CO₂) piesaistes palielināšana. Latvijas nacionālais enerģētikas un klimata plāns 2021.–2030. gadam [4] paredz nodrošināt ilgtspējīgu resursu izmantošanu, SEG emisiju mazināšanu un CO₂ piesaisti ZIZIMM sektorā, nosakot mērķi līdz 2030. gadam panākt 3,1 milj. tonnu CO₂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22. novembrī Eiropas Komisija kopā ar Kohēzijas politikas programmu 2021.–2027. gadam apstiprināja Taisnīgas pārkārtošanās teritoriālo plānu Latvijai (turpmāk – TPTP) [5]. Tā galvenais ieguldījumu virziens ir pakāpeniska atteikšanās no kūdras izmantošanas enerģētikā, īpašu uzmanību pievēršot arī SEG emisiju mazināšanai zemes izmantošanas, izmantošanas maiņas un mežsaimniecības (turpmāk – ZIZIMM)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24.11.2020. rīkojums Nr. 696 “Par Kūdras ilgtspējīgas izmantošanas pamatnostādnēm 2020.-2030.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31.08.2022. rīkojums Nr. 583 “Par Vides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stratēģija klimatneitralitātes sasniegšanai līdz 2050. gadam. Informatīvais ziņojums, 2019.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12.07.2024. rīkojums Nr. 573 “Aktualizētais Nacionālais enerģētikas un klimata plāns 2021.–2030.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14.07.2022. rīkojums Nr. 531 “Par Taisnīgas pārkārtošanās teritoriālo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viens no būtiskākajiem SEG emisiju avotiem ZIZIMM sektorā ir kūdras nozare – SEG emisijas no mitrājiem un kūdras ieguves enerģētikai, kā arī ieguves dārzkopībai veido aptuveni 13% no kopējām emisijām, ieskaitot ZIZIMM un netiešās CO</w:t>
      </w:r>
      <w:r w:rsidR="00000000" w:rsidRPr="00000000" w:rsidDel="00000000">
        <w:rPr>
          <w:vertAlign w:val="subscript"/>
          <w:rtl w:val="0"/>
        </w:rPr>
        <w:t xml:space="preserve">2</w:t>
      </w:r>
      <w:r w:rsidR="00000000" w:rsidRPr="00000000" w:rsidDel="00000000">
        <w:rPr>
          <w:rtl w:val="0"/>
        </w:rPr>
        <w:t xml:space="preserve"> emisijas [5]. Kūdras ieguve izraisa lielu oglekļa uzkrājumu zudumu – nosusinot purvus un izjaucot dabisko hidroloģisko režīmu, kūdra sāk oksidēties un atmosfērā nonāk ievērojams CO₂ daudzums. Latvijas emisiju inventarizācijas dati liecina, ka VKIV un to neapsaimniekotās teritorijas rada nozīmīgu emisiju apjomu, kas ietekmē valsts kopējo emisiju bilanci. Aplēstās kūdras ieguves teritoriju platības rada aptuveni 199,9 kt CO</w:t>
      </w:r>
      <w:r w:rsidR="00000000" w:rsidRPr="00000000" w:rsidDel="00000000">
        <w:rPr>
          <w:vertAlign w:val="subscript"/>
          <w:rtl w:val="0"/>
        </w:rPr>
        <w:t xml:space="preserve">2</w:t>
      </w:r>
      <w:r w:rsidR="00000000" w:rsidRPr="00000000" w:rsidDel="00000000">
        <w:rPr>
          <w:rtl w:val="0"/>
        </w:rPr>
        <w:t xml:space="preserve"> ekvivalentu gadā, turklāt laikā no 1990. līdz 2018. gadam SEG emisijas no mitrājiem ir pieaugušas par 30% [3;5].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25. novembrī spēkā esošo statistiski teritoriālo vienību nomenklatūras 3. līmeņa (turpmāk – NUTS 3. līmenis) un ņemot vērā reģionu līdzīgās specifiskās problēmas un attīstības vajadzības, Latvija TPTP ir noteikusi, ka visvairāk atteikšanās no kūdras izmantošanas enerģētikā un saistīto nozaru pārkārtošanās process virzībā uz klimatneitralitāti ietekmēs četrus reģionus: Latgali, Vidzemi, Zemgali, Kurzemi. Minētajos četros reģionos ir 20 139 ha VKIV, kas rada SEG emisijas vismaz 153,46 kt CO</w:t>
      </w:r>
      <w:r w:rsidR="00000000" w:rsidRPr="00000000" w:rsidDel="00000000">
        <w:rPr>
          <w:vertAlign w:val="subscript"/>
          <w:rtl w:val="0"/>
        </w:rPr>
        <w:t xml:space="preserve">2</w:t>
      </w:r>
      <w:r w:rsidR="00000000" w:rsidRPr="00000000" w:rsidDel="00000000">
        <w:rPr>
          <w:rtl w:val="0"/>
        </w:rPr>
        <w:t xml:space="preserve"> ekv. gadā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ZIZIMM sektora virzību uz klimatneitralitāti, Stratēģijā noteikto ZIZIMM 2030. gada mērķa sasniegšanu, kā arī uzlabotu degradētās vides kvalitāti un nodrošinātu teritorijas pilnvērtīgu turpmāku izmantošanu, ir nepieciešama VKIV rekultivācija jeb revitalizācija* ekosistēmu atjaunošanai un pienācīga to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vairumā gadījumu jeb 53% no Pamatnostādnēs uzskaitītajām VKIV teritorijām īpašnieks vai tiesiskais valdītājs ir valsts, pasākuma trešās atlases kārtas ietvaros šobrīd tiek īstenota atbalsta programma VKIV rekultivācijai Latvijas Republikas valsts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Rekultivācija atbilstoši likuma “Par zemes dzīlēm” 1. panta 28. punktam ir darbību kopums, kas veicams pēc derīgo izrakteņu ieguves, lai sagatavotu derīgo izrakteņu ieguves vietu turpmākai zemes izmantošanai atbilstoši plānotajam zemes lietošanas mērķim. Rekultivācijas veida saskaņošanu un projektēšanu, derīgo izrakteņu ieguves pabeigšanu, rekultivācijas darbu uzsākšanas termiņus, izpildes termiņus un citus kārtības jautājumus regulē MK 21.08.2012. noteikumi Nr. 570 “Derīgo izrakteņu ieguves kārtība” (turpmāk – MK noteikumi Nr. 570). Ne likums “Par zemes dzīlēm”, ne MK noteikumi Nr. 570 neparedz un neizdala VKIV un to sakārtošanu, jo likuma “Par zemes dzīlēm” 2. pants nosaka, ka likuma mērķis ir nodrošināt zemes dzīļu kompleksu, racionālu, vidi saudzējošu un ilgtspējīgu izmantošanu, kā arī noteikt zemes dzīļu aizsardzības prasības, bet MK noteikumi Nr. 570 izdoti saskaņā ar likuma “Par zemes dzīlēm” 5. panta ceturtās daļas 1. punktu, 8. panta otrās daļas 3. punktu un 12.1. panta sesto daļu, tātad derīgo izrakteņu ieguvei, kas saskaņā ar likuma “Par zemes dzīlēm” 1. panta 6. punktu ir darbu komplekss derīgo izrakteņu atdalīšanai no to dabiskās vides, un visam, kas nepieciešams, lai varētu veikt ieguvi. Līdz ar to VKIV gadījumā nav piemērojams termins “rekultivācija”. Tamdēļ, lai nodrošinātu juridisku noteiktību, MK noteikuma projekta ietvaros tiek ieviests termins “revitalizācija”, ar ko aizstāj terminu “rekultivācija” un ar ko saprotama VKIV sagatavošana plānotajam zemes izmantošanas veidam, kas vienlaikus atbilst MK noteikumu Nr. 570 uzskaitītajiem kūdras ieguves vietu rekultivācijas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01.07.2025. noteikumi Nr. 407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pāreju uz klimatneitralitāti un mazinātu VKIV radīto negatīvo ietekmi uz vidi, paredzēta kompleksa pieeja degradēto teritoriju revitalizācijai, veicot ieguldījumus pašvaldību un privātpersonu īpašumā, valdījumā vai turējumā esošajās teritorijās, kas minētas Pamatnostādņu 3. pielikumā un atrodas Kurzemes, Latgales, Vidzemes un Zemgales statistiskajā reģionā saskaņā ar NUTS 3. līmeņa klasifikāciju (tātad – izņemot Rīgas un Jūrmalas valstspilsētas, Ādažu, Limbažu, Ogres, Ropažu, Ķekavas, Mārupes, Olaines, Salaspils, Saulkrastu, Siguldas un Tukuma novadus).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pasākuma ceturtās un piektās atlases kārtas mērķa grupa ir pašvaldības, juridiskas personas un fiziskas personas, kuru īpašumā, valdījumā vai turējumā ir iepriekš minētās degradētās teritorijas, kurās nepieciešams īstenot revitalizācijas pasākumus ekosistēmu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atlases kārtas ietvaros Vidzemes plānošanas reģions sadarbībā ar Kurzemes, Zemgales un Latgales plānošanas reģioniem ir veicis VKIV inventarizāciju, kuras rezultātā identificētas tās teritorijas, kurās pēc kūdras ieguves beigām nav notikusi dabiskā atjaunošanās. Šīs teritorijas, pamatojoties uz kamerālo analīzi un izpēti dabā, ir atzītas par degradētām kūdras ieguves vietām, kurās nepieciešams īstenot revitalizāciju.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paredzēts veikt darbības vēsturiski radītā kaitējuma dabas resursiem novēršanai vēsturiskajās kūdras ieguves vietās, īstenojot revitalizāciju, kuras ietvaros tiek atjaunotas purvu, mežu, ūdenstilpju ekosistēmas un to funkcionalitāte, kā arī to spēja piesaistīt oglekli. Piektajā kārtā papildus paredzēta VKIV revitalizācija, ierīkojot ilggadīgos stādījumus un paludikultūru stādījumus, kas sniegs ne vien SEG emisiju samazinājumu, bet arī ļauj atgriezt degradētās teritorijas tautsaimnieciskajā apritē.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VKIV revitalizācijas mērķis ir nodrošināt teritorijas pilnvērtīgu turpmāku izmantošanu, novērst draudus cilvēku veselībai un dzīvībai, kā arī apkārtējai videi, kā arī veicināt ieguves vietas integrāciju ainavā un mazināt negatīvo ietekmi uz bioloģisko daudzveidību. Revitalizācijas ne tikai veicina klimata pārmaiņu mazināšanu, samazinot SEG emisijas, bet arī nodrošina mikroklimata apstākļu, piemēram, gaisa temperatūras un iztvaikošanas, regulēšanu un ūdens un barības vielu cirkulācijas uzturēšanu. Tai ir arī būtiska loma augsnes erozijas samazināšanā, augsnes veidošanās un kvalitātes uzturēšanā, kā arī kūdras lauku un pieguļošo teritoriju ugunsbīstamības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piemērotāko revitalizācijas veidu un principa “piesārņotājs maksā” piemērošanu, pasākuma pirmās atlases kārtas ietvaros ir veikta inventarizācija pasākuma ceturtās un piektās atlases kārtas mērķa grupas teritorijām, kā rezultātā ir izstrādāta teritorijai atbilstoša revitalizācijas stratēģija, nosakot atbalstāmos risinājumus un darbības. Ja šāda revitalizācijas stratēģija nav izstrādāta, projekta iesniedzējam jāsaņem kompetentu speciālistu (piemēram, sugu un biotopu, purvu, hidroloģijas un citu ar kūdras ieguves vietu rekultivāciju saistītu jomu ekspertu) atzinumi. Tajos jābūt pamatotam atbilstošam revitalizācijas veidam un īstenojamām darbībām, ņemot vērā teritorijas ietekmējošos faktorus un plānoto revitalizācijas darbību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ceturto un piekto atlases kārtu paredzēts īstenot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Projekta iesniedzējs un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kas pēc projekta iesnieguma apstiprināšanas kļūst par finansējuma saņēmēju, pasākuma ceturtajā atlases kārtā ir pašvaldības, bet pasākuma piektajā atlases kārtā ir privātu tiesību juridiskā persona (turpmāk - juridiska persona), tostarp biedrības un nodibinājumi vai fiziska persona, kuru īpašumā, valdījumā vai turējumā atrodas teritorijas, kas minētas Pamatnostādņu 3. pielikumā un atrodas Kurzemes, Latgales, Vidzemes un Zemgales statistiskajā reģionā saskaņā ar NUTS 3. līmeņa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pasākuma ceturtās un piektās atlases kārtas ietvaros var piesaistīt sadarbības partnerus, slēdzot rakstisku sadarbības līgumu par pušu pienākumiem, tiesībām un atbildību projekta mērķa un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atlases kārtā sadarbības partneri var būt fiziska vai juridiska persona, kuras īpašumā valdījumā vai turējumā atrodas VKIV atbilstoši Pamatnostādņu 3. pielikumam un tā atrodas Kurzemes, Latgales, Vidzemes un Zemgales statistiskajā reģionā saskaņā ar NUTS 3. līmeņa klasifikāciju, kurai izstrādāta revitalizācijas stratēģija vai saņemti ekspertu atzinumi par ieteicamo revitalizācijas veidu un darbībām. Savukārt piektajā kārtā sadarbības partneri var būt pašvaldības vai juridiskas un fiziskas personas, kuru īpašumā, valdījumā vai turējumā ir šāda teritorija un tā atrodas Kurzemes, Latgales, Vidzemes un Zemgales statistiskajā reģionā saskaņā ar NUTS 3. līmeņa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projekta iesniedzējs var iesniegt vairākus projekta iesniegumus. Vienlaikus vienā projekta iesniegumā var iekļaut darbības vienā vai vairākās teritorijās, piemērojot katrai teritorijai vienu no revitalizācijas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Pieejamais finansējums un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atlases kārtas īstenošanai paredzēts Taisnīgas pārkārtošanās fonda (turpmāk – TPF) finansējums 2 007 407 </w:t>
      </w:r>
      <w:r w:rsidR="00000000" w:rsidRPr="00000000" w:rsidDel="00000000">
        <w:rPr>
          <w:i w:val="1"/>
          <w:rtl w:val="0"/>
        </w:rPr>
        <w:t xml:space="preserve">euro </w:t>
      </w:r>
      <w:r w:rsidR="00000000" w:rsidRPr="00000000" w:rsidDel="00000000">
        <w:rPr>
          <w:rtl w:val="0"/>
        </w:rPr>
        <w:t xml:space="preserve">apmērā, nacionālais finansējums, ko veido pašvaldības budžeta vai privātais līdzfinansējums – vismaz 354 249 </w:t>
      </w:r>
      <w:r w:rsidR="00000000" w:rsidRPr="00000000" w:rsidDel="00000000">
        <w:rPr>
          <w:i w:val="1"/>
          <w:rtl w:val="0"/>
        </w:rPr>
        <w:t xml:space="preserve">euro</w:t>
      </w:r>
      <w:r w:rsidR="00000000" w:rsidRPr="00000000" w:rsidDel="00000000">
        <w:rPr>
          <w:rtl w:val="0"/>
        </w:rPr>
        <w:t xml:space="preserve">. Savukārt pasākuma piektās atlases kārtas īstenošanai paredzēts TPF finansējums – 14 123 672 </w:t>
      </w:r>
      <w:r w:rsidR="00000000" w:rsidRPr="00000000" w:rsidDel="00000000">
        <w:rPr>
          <w:i w:val="1"/>
          <w:rtl w:val="0"/>
        </w:rPr>
        <w:t xml:space="preserve">euro</w:t>
      </w:r>
      <w:r w:rsidR="00000000" w:rsidRPr="00000000" w:rsidDel="00000000">
        <w:rPr>
          <w:rtl w:val="0"/>
        </w:rPr>
        <w:t xml:space="preserve">, nacionālais līdzfinansējums, ko veido privātais vai pašvaldību budžeta līdzfinansējums – vismaz  2 492 413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viena projekta īstenošanai maksimālais pieejamais Taisnīgas pārkārtošanās fonda finansējums nepārsniedz 800 000 </w:t>
      </w:r>
      <w:r w:rsidR="00000000" w:rsidRPr="00000000" w:rsidDel="00000000">
        <w:rPr>
          <w:i w:val="1"/>
          <w:rtl w:val="0"/>
        </w:rPr>
        <w:t xml:space="preserve">euro</w:t>
      </w:r>
      <w:r w:rsidR="00000000" w:rsidRPr="00000000" w:rsidDel="00000000">
        <w:rPr>
          <w:rtl w:val="0"/>
        </w:rPr>
        <w:t xml:space="preserve">, bet īstenojot ilggadīgo ogulāju izveidošanu, saskaņā ar Komisijas 2022. gada 14. decembra Regulas (ES)  2022/2472, ar kuru, piemērojot Līguma par Eiropas Savienības darbību 107. un 108. pantu, dažu kategoriju atbalstu lauksaimniecības un mežsaimniecības nozarē un lauku apvidos atzīst par saderīgu ar iekšējo tirgu (turpmāk -  regula Nr. 2022/2472) 4. panta 1. punkta “a” apakšpunktu, vienā projekta attiecināmās izmaksas nedrīkst pārsniegt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piektajai atlases kārtai piemēroti tādi uzraudzības rādītāji, kādi tie noteikti TPTP un ES kohēzijas politikas programmai 2021.–2027. gadam Latvijai. Specifiskā atbalsta mērķa 6.1.1. “Pārejas uz klimatneitralitāti radīto ekonomisko, sociālo un vides seku mazināšana visvairāk skartajos reģionos” līmenī noteiktie uzraudzības rādītāji, kas attiecināmi uz pasākuma ceturto un piekto atlases kārtu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iznākuma rādītājs</w:t>
      </w:r>
      <w:r w:rsidR="00000000" w:rsidRPr="00000000" w:rsidDel="00000000">
        <w:rPr>
          <w:rtl w:val="0"/>
        </w:rPr>
        <w:t xml:space="preserve"> – atbalstītā sanētās zemes platība. Iznākuma rādītāja vērtība tiek sasniegta, ja tiek veikti ieguldījumi Pamatnostādņu 3. pielikumā minētajās teritorijās vismaz 5100  ha platībā (ceturtajā atlases kārtā – 150 ha, piektajā atlases kārtā – 4 950 ha). Iznākuma rādītāja vērtībā netiek iekļauta VKIV piegulošo teritoriju platība, kurās projekta ietvaros veiktas darbības ar mērķi uzlabot mērķteritorijas revitalizāciju.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“sanācija” iznākuma rādītāja vērtības kontekstā tiek skaidrots saskaņā ar Vides aizsardzības likumā definēto terminoloģiju, kas sanācijas pasākumus definē kā pasākumus dabas atjaunošanai, lai novērstu dabas kaitējumu, kas pasākuma trešās atlases kārtas kontekstā ir saprotams kā darbības, atjaunojot purvu un mežu kā dabisku vai daļēji dabisku ekosistēmu un ar tiem saistīto ekosistēmu funkcionalitāti, bioloģiskās daudzveidības saglabāšanu un uzlabošanu, kā arī darbības ekosistēmās, lai palielinātu noturību pret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Eiropas Komisijas 2014.gada 7. jūnija Regulā (ES)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(turpmāk – regula Nr. 651/2014) arī tiek lietots termins “sanācija”, tas neskaidro pasākuma trešajā atlases kārtā paredzēto darbību būtību un mērķi (dabas kaitējuma novēršanu un bioloģiskās daudzveidības uzlabošanu), tāpēc regulā Nr. 651/2014 lietotais termins “sanācija” ir ar mazāku mērķi atjaunot primāras ekosistēmu funkcijas jeb bioloģiski mazvērtīgas ekosistēmas atjaunošana, netiek piemērots iznākuma rādītāja vērtības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projekta iesniedzējs un sadarbības partneris (ja attiecināms) sniedz apliecinājumu par sasniedzamo iznākuma rādītāja platību. Iznākuma rādītāja vērtība tiek sasniegta projekta noslēgumā, un to nosaka atbilstoši īstenotajam rekultivācijas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renaturalizācijai platību nosaka atbilstoši dabas (sugu un biotopu) eksperta sniegtajam atzinumam par tiešo darbību platību. Projekta iesniegumā norāda atjaunojamo purva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ūdenstilpes izveidei platību nosaka atbilstoši pieņemšanas-nodošanas aktā ietvertajai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meža ieaudzēšanai platību nosaka atbilstoši Valsts meža dienesta atzinumā norādītajai ieaudzētajai meža platībai. Projekta iesniegumā norāda valdošo koku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ilggadīgiem stādījumiem, piemēram, tādu ogu kā lielogu dzērvenēm un krūmmellenēm, platību nosaka atbilstoši Lauku atbalsta dienesta Lauka bloku kartē reģistrētajām platībām. Projekta iesniegumā norāda ieaudzēto stādījumu auga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ilggadīgiem stādījumiem, piemēram, paludikultūrām, platību nosaka atbilstoši pieņemšanas-nodošanas aktā norādītajai informācijai. Projekta iesniegumā norāda stādījumu auga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rezultāta rādītājs</w:t>
      </w:r>
      <w:r w:rsidR="00000000" w:rsidRPr="00000000" w:rsidDel="00000000">
        <w:rPr>
          <w:rtl w:val="0"/>
        </w:rPr>
        <w:t xml:space="preserve"> – aplēstās SEG emisijas. Rezultāta rādītāja vērtība tiek sasniegta un aprēķināta no projektā iekļautajām teritorijām, sasniedzot SEG emisiju samazinājumu vismaz – -30 000 (ietaupījumu vismaz 80 000) CO</w:t>
      </w:r>
      <w:r w:rsidR="00000000" w:rsidRPr="00000000" w:rsidDel="00000000">
        <w:rPr>
          <w:vertAlign w:val="subscript"/>
          <w:rtl w:val="0"/>
        </w:rPr>
        <w:t xml:space="preserve">2</w:t>
      </w:r>
      <w:r w:rsidR="00000000" w:rsidRPr="00000000" w:rsidDel="00000000">
        <w:rPr>
          <w:rtl w:val="0"/>
        </w:rPr>
        <w:t xml:space="preserve"> ekvivalenta (turpmāk – ekv.) tonnu (turpmāk – t) gadā (ceturtajā atlases kārtā – -5 000, piektajā atlases kārtā – -25 000).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pirms revitalizācijas pasākumu veikšanas aprēķinā izmanto, piemērojot nacionālo SEG emisiju faktoru 7,62 t CO</w:t>
      </w:r>
      <w:r w:rsidR="00000000" w:rsidRPr="00000000" w:rsidDel="00000000">
        <w:rPr>
          <w:vertAlign w:val="superscript"/>
          <w:rtl w:val="0"/>
        </w:rPr>
        <w:t xml:space="preserve">2</w:t>
      </w:r>
      <w:r w:rsidR="00000000" w:rsidRPr="00000000" w:rsidDel="00000000">
        <w:rPr>
          <w:rtl w:val="0"/>
        </w:rPr>
        <w:t xml:space="preserve"> ekv. ha</w:t>
      </w:r>
      <w:r w:rsidR="00000000" w:rsidRPr="00000000" w:rsidDel="00000000">
        <w:rPr>
          <w:vertAlign w:val="subscript"/>
          <w:rtl w:val="0"/>
        </w:rPr>
        <w:t xml:space="preserve">-1</w:t>
      </w:r>
      <w:r w:rsidR="00000000" w:rsidRPr="00000000" w:rsidDel="00000000">
        <w:rPr>
          <w:rtl w:val="0"/>
        </w:rPr>
        <w:t xml:space="preserve"> gadā, kas sekojoši pret iznākuma rādītāja vērtību - 7 000 hektāriem gadā emitēja 53 340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bscript"/>
          <w:rtl w:val="0"/>
        </w:rPr>
        <w:t xml:space="preserve">-1</w:t>
      </w:r>
      <w:r w:rsidR="00000000" w:rsidRPr="00000000" w:rsidDel="00000000">
        <w:rPr>
          <w:rtl w:val="0"/>
        </w:rPr>
        <w:t xml:space="preserve">. Emisiju samazinājumu nosaka, projekta iesniedzējam aprēķinot projektā revitalizēto teritoriju sākotnējo emisiju apjomu gadā un aprēķinot revitalizēto teritoriju emisijas gadā pēc revitalizācijas veikšanas. Katram revitalizācijas veidam piemērojams atšķirīgs nacionālos SEG emisiju faktorus, ko noteikusi par nozari atbildīgā Klimata un enerģētikas ministrija sadarbībā ar Latvijas valsts mežzinātnes institūtu “Silava”, un tie ir šādi: appludināta platība un renaturalizēts augstais purvs  (3,5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renaturalizēts zemais purvs (10,7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skuju koku audze ar meliorētu augsni (-2,9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lapu koku audze ar meliorētu augsni (-7,5t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skuju koku audze ar pārslapinātu augsni (5,9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lapu koku audze ar pārslapinātu augsni (4,3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skuju kokiem apmežota platība ar meliorētu augsni (-7,0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lapu kokiem apmežota platība ar meliorētu augsni (-9,5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skuju kokiem apmežota platība ar pārslapinātu augsni (5,9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ar lapu kokiem apmežota platība ar pārslapinātu augsni (2,3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lielogu dzērvenes u.c. purvam raksturīgās ogas (4,9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krūmmellenes (7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 paludikultūras ar niedru vai sfagnu veģetāciju (3,5 t CO</w:t>
      </w:r>
      <w:r w:rsidR="00000000" w:rsidRPr="00000000" w:rsidDel="00000000">
        <w:rPr>
          <w:vertAlign w:val="subscript"/>
          <w:rtl w:val="0"/>
        </w:rPr>
        <w:t xml:space="preserve">2</w:t>
      </w:r>
      <w:r w:rsidR="00000000" w:rsidRPr="00000000" w:rsidDel="00000000">
        <w:rPr>
          <w:rtl w:val="0"/>
        </w:rPr>
        <w:t xml:space="preserve"> ekv. ha</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un rādītāju ilgtspēja un uzturēšana nodrošināma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paredzētajām darbībām jāatbilst TPTP noteiktajiem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ir atbalstāma revitalizācijas īstenošana saskaņā ar revitalizācijas stratēģijām vai kompetentu ekspertu atzinumiem. Katras VKIV revitalizācijas metode tiek izvēlēta, ņemot vērā dažādus attiecīgās teritorijas apstākļus (purva tipu, atlikušo kūdras slāni, zem tā esošo nogulumu sastāvu, hidroloģisko režīmu u.t.t.), attiecīgās pašvaldības teritorijas attīstības plānā noteiktā nekustamā īpašuma izmantošanas mērķi, zemes īpašnieka vēlmēm, pieejamā finansējuma apjoma u.c. Pirms revitalizācijas zemes īpašniekam jānodrošina, ka VKIV ir precīzi identificēta, ir novērtēta teritorijas ģeoloģiskie, ekonomiskie, klimatiskie un bioloģiskie aspekti, kā arī tiek noteiktas visefektīvākās darbības un risinājumi, kas atbilst TPTP, koncentrējoties uz revitalizācijas veidiem ar lielāku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Atbalstāmie revitalizācijas veidi ir renaturalizācija, meža ieaudzēšana un ūdenstilpju izveide, savukārt piektajā atlases kārtā papildus ir atbalstāma ilggadīgo stādījumu audzēšana, kas noteikti izvērtējot to atbilstību TPTP nosacījumam – īstenot tādus revitalizācijas veidus, kas nodrošina lielāko SEG emisiju samazinājumu un ir piemēroti Latvijas klimatiskajiem apstākļiem. Projekta iesniedzējs un sadarbības partneris nodrošina revitalizējamo teritoriju ekosistēmu pakalpojumu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atbalstāmās darbības ceturtajā un piektajā atlases kārtā noteikta renaturalizācija, meža ieaudzēšana un agrotehniskā kopšana, meža ieaudzēšanai nepieciešamās meliorācijas sistēmas izveide, atjaunošana vai rekonstrukcija, ūdenstilpju izveide, kā arī citas ar projektu saistītās attiecināmās izmaksas, kas tiek segtas atbilstoši vienkāršoto izmaksu metodikai. Papildus piektajā kārtā ir atbalstāma ilggadīgo stādījumu un tos atbalstošās infrastruktūras izveide, komunikācijas un vizuālās identitātes prasību nodrošināšanas prasības, darbības horizontālo   principu “Nenodarīt būtisku kaitējumu” un “Vienlīdzība, iekļaušana, nediskriminācija un pamattiesību ievērošana” nodrošināšanai,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2021/1060 53.panta 3.punkta prasības VARAM kā par investīcijas īstenošanu atbildīgā iestāde izstrādāja Vienas vienības izmaksu likmju aprēķina un piemērošanas metodiku Eiropas Savienības kohēzijas politikas programmas 2021.–2027.gadam specifiskā atbalsta mērķa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īstenošanai (turpmāk – metodika), uz kuras pamata noteikumu projekts paredz investīciju atbalsta maksājumu izmaksu finansējuma saņēmējiem atbilstoši vienas vienības izmaksu metodikā noteiktajiem revitalizācijas veidiem, kas ir renaturalizācija, meža ieaudzēšana, meža agrotehnisko kopšana, meža ieaudzēšanai nepieciešamās meliorācijas sistēmas izveide, atjaunošana vai pārbūve un ūdenstilpju izveidi. Metodiku atbildīgā iestāde ievieto savā tīmekļvietnē pēc tās apstiprināšanas, bet ne vēlāk kā piecu darbdienu laikā pirms atlases kārtas izsludināšanas. Metodiku plānots izstrādāt līdz projektu iesniegumu atlases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Metodikā noteiktas šādas attiecināmās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renaturalizācija – metodika ietver izmaksas par dambešanas, sprostu veidošanas, grāvju aizrakšanas, teritorijas līdzināšanas, zemsedzes novākšanas, purvam raksturīgo augu ievākšanas donorteritorijās un to reintrodukcijas mērķa teritorijā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ūdenstilpju izveide  - maksas var ietvert teritorijas attīrīšanu, esošās infrastruktūras nojaukšanu, teritorijas līdzināšanu un konkrētajai funkcijai piemērota reljefa izveidi, gultnes nostiprināšanu un hidrotehnisko būvju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ieaudzēšana – teritorijas attīrīšana no izveidojušās veģetācijas, augsnes sagatavošana, meža stādīšana, meža stādi, stādu apstrāde pret dzīvnieku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meliorācijas izveides, pārbūves vai atjaunošanas izmaksas – teritorijas attīrīšana no izveidojušās veģetācijas, hidroloģisko aprēķinu veikšana un būvprojekta sagatavošana, piketu izlikšana, ekskavācijas darbi, grāvju gultnes stiprināšana, virszemes noteces regulēšana;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citās ar projektu saistītās attiecināmās izmaksas, kas tiek segtas atbilstoši vienkāršoto izmaksu metodikai ietilpst analīžu veikšana ūdens un augsnes stāvokļa noteikšanai, revitalizācijas saskaņošanas izmaksas, ietekmes uz vidi vai sākotnējās ietekmes izvērtējuma izmaksas, projekta sagatavošanas un saskaņošanas izmaksas, kā arī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papildu izmaksas, kas pārsniedz metodikā noteiktās vienas vienības likmes sedz no līdzekļiem par kuriem nav saņemts nekāds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nav atbalstāma revitalizācijas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darbības VKIV, ir jāpārliecinās par iespēju piemērot principu “piesārņotājs maksā”, kā to paredz TPTP un Eiropas Komisijas (turpmāk – EK) 2021. gada 24. jūnija Regulas (ES) Nr. 2021/1056, ar ko izveido Taisnīgas pārkārtošanās fondu, 8. panta 2. punkts. Projektos izvēlētajām VKIV nevar būt piemērojams princips “piesārņotājs maksā”, proti, šajās teritorijās nevar notikt aktīva kūdras ieguve, konkrētajai teritorijai nav spēkā esošas kūdras ieguves atļaujas, kā arī šajā teritorijā nav uzsākti rekultivācijas pasākumi. Ja projekts pasākuma piektās kārtas ietvaros netiek īstenots pamatojoties uz pasākuma pirmajā atlases kārtā izstrādātā revitalizācijas stratēģijas pamata, projekta iesniegumā tiek sniegta informācija, kurā norādīts datums, kurā tika pārtraukta kūdras ieguve projekta īstenošanas teritorijā (ja iespējams), tiek apliecināts, ka šai teritorijai nav spēkā esošas licences par kūdras ieguvi, ka kūdras ieguves periodā nav bijusi prasība par rekultivācijas veikšanu pēc kūdras ieguves pārtraukšanas, kas pierādāms, ja kūdras ieguve pārtraukta vai kūdras ieguves licence anulēta, beigusies pirms stājās spēkā likums “Par zemes dzīlēm”, un tagadējais zemes īpašnieks, valdītājs vai turētājs nav likumīgais kūdras ieguves veicēja vai citas struktūras saistību pārņēmējs, un šī struktūra vai uzņēmums vairs nepastāv, kā arī uz tagadējo zemes īpašnieku nevar attiecināt MK noteikumu Nr. 570 8. nodaļas prasības, kas nosaka, ka zemes īpašniekam viena gada laikā pēc kūdras ieguves beigšanas ir jāuzsāk rekultivācijas aktivitātes kūdras ieguves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uzņēmums vai struktūra, kas veica kaitējuma darbības, joprojām turpina savu darbību, bet nav veikta konkrētās teritorijas rekultivācija, tad šim uzņēmumam var piemērot principu “piesārņotājs maksā”, līdz ar to šādu teritoriju revitalizācija nevar tikt īstenota pasākuma ceturtās un piektās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Revitalizācijas veidu atbalsta nosacījumi un komercdarbības atbalsta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 un piektā atlases kārta paredz atšķirīgu komercdarbības regulējuma piemērošanu atkarībā no tā, kāds revitalizācijas veids tiek īstenots un kādas īstenojamās darbības tas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darbības ir īstenojamas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piešķirtais komercdarbības atbalsts netiek apvienots ar finansējumu no citām atbalsta programmām, kas finansētas no vietējiem, reģionālajiem, valsts vai Eiropas Savienības finanšu līdzekļiem, ja finansējums attiecas uz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var kumulēt ar citu komercdarbības atbalstu tikai gadījumos, kad attiecīgie atbalsti attiecas uz atšķirīgām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neparedz citas attiecināmās izmaksas; ar to piešķirtais atbalsts nav kumulējams ar citu komercdarbības atbalstu un nav apvienojams ar finansējumu no citām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Renaturalizācijas un ūdenstilpju izveides gadījumā, tiek atjaunoti purvu biotopi vai veidotas ūdenstilpes piemērojot metodiku, kurai atbalsta aprēķins tiek veikts par 0,5 ha, kā arī attiecīgi minimālā platība, kurā iespējams īstenot šos revitalizācijas veidus ir 0,5 ha. Pēc renaturalizācijas īstenošanas jāsaņem dabas (biotopu un sugu) ekspertu apliecinājums par īstenoto darbību atbilstību šo ekosistēmu atjaunošana, kurā tostarp norādīts atjaunojamā purva veids (ja attiecināms). Pēc ūdenstilpes izveides jāsaņem hidrologu apliecinājums par ūdenstilpes izveidi un tās platību, un būvei jābūt reģistrētai pašvaldības būvvaldei kā pieņemtai ekspluatācijā. Īstenojot gan ūdenstilpju izveidi, gan purva vides atjaunošanu paredzēti SEG emisiju ietaupījumi, salīdzinot ar VKIV sākotnēji degradēto stāvokli, kas ir arī pamatojums pasākuma ceturtās un piektās atlases kārtas investīciju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revitalizācijas veidu īstenošana izmaksas ir attiecināmas no 2026.gada 1. janvāra.  Ja projekta iesniedzējs un sadarbības partneris (ja attiecināms) ir sniedzis apliecinājumu, ka projekta īstenošanas vietā projekta dzīves ciklā netiks īstenota komercdarbība, netiek piemērots komercdarbības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atlases kārtā pašvaldībām kā projektu iesniedzējam vai sadarbības partnerim, saskaņā ar Komisijas paziņojuma par valsts atbalsta jēdzienu saskaņā ar Līguma par ES darbību 107. panta 34. un 35. punktu atsevišķas ar dabas aizsardzību saistītas darbības var, ņemot vērā to īpašo raksturu, būt organizētas nekomerciāli un tādējādi būt tādas, kurām nav saimnieciska rakstura. Līdz ar to publiskais finansējums šādām darbībām var nebūt uzskatāms par valsts atbalstu. Lai nodrošinātu šo principu ievērošanu projekta infrastruktūras ekspluatācijas laikā, MK noteikumu projekts paredz pasākuma ceturtajā atlases kārtā pašvaldībām kā projekta iesniedzējam vai kā sadarbības partnerim veikt finanšu analīzi atbilstoši sadarbības iestādes metodikai, nosakot, ka ieņēmumi projekta dzīves ciklā nedrīkst pārsniegt 50% no infrastruktūras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ja saimnieciskā darbība tiek plānota un vai īstenota projekta īstenošanas teritorijā, tad tiek piemērots regulas Nr. 651/2014 45. panta “c” un “d” apakšpunktiem, kuri ir saderīgi ar ieguldījumiem bioloģiskās daudzveidības aizsardzībai un ekosistēmu atjaunošanai, kā arī klimata pārmaiņu mazināšanu. Kas tieši saskan ar pasākuma revitalizācijas mērķiem īstenot renaturalizāciju un atjaunot ūdenstilpju ekosistēmas VKIV, ūdenstilpes bieži ir cieši saistītas ar purvu teritorijām un ietilpst īpaši aizsargājamās dabas teritorijās, kā, piemēram, Papes ezers un Sedas purvs. Ūdenstilpju izveide veicina mitrāju biotopu atjaunošanos, kas nodrošina dzīvotnes migrējošiem putniem, abiniekiem un bezmugurkaulniekiem, vienlaikus uzlabojot ūdens kvalitāti, samazinot barības vielu noplūdi un kalpojot kā dabiski oglekļa uzkrājēji.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atbalstu piešķir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Nr. 651/2014 45. panta 8. punkta nosacījumiem attiecināmās izmaksas ir kopējās izmaksas par darbiem, kuru rezultātā tiek sekmēta bioloģiskās daudzveidības aizsardzība vai atjaunošana vai dabā balstīto risinājumu īstenošana nolūkā panākt klimatadaptāciju un klimata pārmaiņu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netiek sniegts remediācijai vai sanācijai pēc elektrostaciju slēgšanas un kalnrūpniecības vai ieguves darbību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nepiemēro darbībām, kas paredzētas, lai novērstu dabas katastrofu, piemēram, zemes nogruvumu, plūdu, viesuļvētru, orkānu un dabiskas izcelsmes ugunsgrēku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nepiešķir tādu darbību īstenošanai, kur iespējams noteikt subjektu vai uzņēmumu, kurš ir atbildīgs par videi nodarīto kaitējumu saskaņā ar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651/2014 45. panta 9. un 10. punkts un TPF noteikto maksimālo intensitāti (mazajiem uzņēmumiem 85 %, vidējiem 80 %, lielajiem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attiecināmība noteikta no 2026. gada 1. janvāra saskaņā ar regulas 651/2014 6. panta 5. punkta “n” apakšpunkta un 45. panta nosacījumiem, kas paredz stimulējošo ietekmi atbalstam bioloģiskās daudzveidības aizsardzībai. Tādējādi jau no 2026. gada 1. janvāra, pirms projekta iesnieguma, var īstenot pamatojošās dokumentācijas izstrādi un tehniskos pasākumus, piemēram, hidrotehniskus un melioratīvus darbus hidroloģiskā režīma atjaunošanai, ekosistēmu funkcionēšanas uzlabošanai un bioloģiskās daudzveidības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uz projekta iesniedzēju (to vērtējot uzņēmumu grupas līmenī) tiek attiecināti līdzekļu atgūšanas nosacījumi saskaņā ar iepriekšēju Eiropas Komisijas lēmumu, ar ko atbalsts atzīts par nelikumīgu un nesaderīgu ar kopējo tirgu, tad atbilstoši regulas Nr. 651/2014 1. panta 4. punkta “c” apakšpunktam atbalsts netiek sniegts. Komercdarbības atbalsta saņēmējs apliecina, ka attiecībā uz to nav iestājusies regulas Nr. 651/2014 1. panta 4. punkta  “c” apakšpunktā minētā situācija, iesniedzot apliecinājumu par to, ka tas neatbilst normatīvajos aktos noteiktiem kritērijiem, lai tam pēc kreditora pieprasījuma piemērotu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nepiešķir grūtībās nonākušam uzņēmumam (turpmāk – GNU), ja īstenojas viena no regulas Nr. 651/2014 2. panta 18. punktā minētajām situācijām. Vērtējot GNU pazīmes, ir jāiegūst informācija par atbalsta pretendentu un visiem tā saistītajiem uzņēmumiem uzņēmumu grupas līmenī. Uzņēmumu grupu nosaka galvenokārt pēc kontrolējošās attiecības starp uzņēmumiem, kopīgas finanšu un vadības struktūras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Meža ieaudzēšana, agrotehniskā kopšana un meža ieaudzēšanai nepieciešamās meliorācijas infrastruktūras izveide</w:t>
      </w:r>
      <w:r w:rsidR="00000000" w:rsidRPr="00000000" w:rsidDel="00000000">
        <w:rPr>
          <w:rtl w:val="0"/>
        </w:rPr>
        <w:t xml:space="preserve">, atjaunošana vai pārbūve ir atbalstāma darbība, kuras izmaksas tiek pamatotas ar metodiku un ir īstenojama atbilstoši revitalizācijas stratēģijai vai kompetentu ekspertu sniegtajiem atzinumiem. Šo darbību īstenošanai tiek piemērots 2023. gada 13. decembra  Komisijas Regulu Nr. 2023/2831 par Līguma par Eiropas Savienības darbību 107. un 108. panta piemērošanu de minimis atbalstam (turpmāk – regula Nr. 2023/28311)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Ja projekta iesniedzējs apliecina, ka tiks ieaudzēts ES nozīmes mitrais meža biotops, komercdarbības regulējums pasākuma ceturtajā kārtā var netikt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meža ieaudzēšanas un ieaudzētā meža agrotehniskās kopšanas platība ir 0,5ha, bet meža meliorācijas izveidei, atjaunošanai vai pārbūvei nav mazāka par 100 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meža ieaudzēšanā primāri jāveido mistraudzes, ne monoaudzes, bet kūdrājos ir pieļaujamas tikai priežu mežaudzes nabadzīgo augsnes apstākļu dēļ, mistraudzēs piemistrojamam jābūt vismaz 25%. Mežu ieaudzējot jāsaglabā savrup augoši koki, koku grupas, rindas un alejas. Īpaši aizsargājamās dabas teritorijās (turpmāk – ĪADT) un mikroliegumos meža ieaudzēšanu var veikt tikai saskaņā ar dabas aizsardzības plāniem vai, ja tādu nav, tad saņemot dabas (sugu un biotopu) ekspertu atzinumu par darbību atbilstošu ietekmi uz ĪADT vai mikroliegumu vai, ja meža ieaudzēšana paredzēta ES nozīmes biotopā vai sugu dzīvotnē saskaņā ar dabas datu portālā “Ozols” sniegto informāciju, jāsaņem dabas (sugu un biotopu) eksperta atzinums par ieaudzēšanas atbilstību. Stādāmajam materiālam jāatbilst normatīvajos aktos ietvertajiem nosacījumiem par meža reproduktīvo materiālu un jāievēro aizsargjoslu likumā ietvertie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meža ieaudzēšanai nepiešķir, ja projektu iesniedzējs vai partneris ir administratīvi sodīts saskaņā ar meža likuma 51. pantu un sodāmība nav dzēsta, kā arī par Ziemassvētku eglīšu stādījumiem, īscirtmeta un ātraudzīgo koku audzēšanu enerģijai, nevietējo sugu audzēšanu, mežaudžu veidošanu ar nepietiekamu koku skaitu, ieaudzēšanu slēgtās meliorācijas platībās (izņemot ar tehniskiem noteikumiem) un ilggadīgo zālāju, bioloģiski vērtīgo zālāju vai putnu dzīvotņu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Agrotehnisko kopšanu veic tikai projektā ieaudzēta meža kopšanai un to īsteno ne biežāk kā vienu reizi gadā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meliorācijas sistēmu izveide vai atjaunošanas gadījumā, ja tā paredzēta riska upju sateces baseinos ir jāparedz videi saudzības meliorācijas izveide, kas ir piemēram, divpakāpju meliorācijas grāvji, akmeņu krāvumi, paplašinājumi, kas kalpo kā sedimentācijas baseini u.c., lai samazinātu suspendēto vielu un barības vielu nokļūšanu tālāk sateces baseinā.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 </w:t>
      </w:r>
      <w:r w:rsidR="00000000" w:rsidRPr="00000000" w:rsidDel="00000000">
        <w:rPr>
          <w:rtl w:val="0"/>
        </w:rPr>
        <w:t xml:space="preserve">atbalstu komersantam piešķir,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trīs gadu periodā nepārsniedz 300 000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uzņēmums darbojas gan vienā no nozarēm, kas minētas šā punkta a), b), c) un d) apakšpunktos, gan vienā vai vairākās citās nozarēs, uz kurām attiecas šīs regulas darbības joma, vai citās darbības sfērās, uz kurām attiecas šīs regulas darbības joma, atbalstam, ko piešķir pēdējām minētajām nozarēm vai darbības sfērām, šo regulu piemēro ar nosacījumu, ka attiecīgā dalībvalsts ar tādiem piemērotiem līdzekļiem kā darbību nodalīšana vai uzskaites nodalīšana nodrošina,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pārbauda, vai komersantam minētais atbalsts pēdējo trīs gadu periodā no datuma, kurā pieņemts lēmums par plānotā atbalsta piešķiršanu komersantam, t.i.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(piemēram, ja jaunā atbalsta piešķiršanas datums ir 2024. gada 18. jūnijs, trīs gadu periods būs skaitāms līdz 2021. gada 18. jūnijam),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2023/2831  3. panta 2. punktā  minēto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izmaksas par meža ieaudzēšanu, finansējuma saņēmējs, izmantojot Meža valsts reģistra ģeogrāfisko informācijas sistēmu, Valsts meža dienestā iesniedz stādāmā materiāla izcelsmi apliecinošus dokumentus, ieaudzētā meža platības skici, nepieciešamos saskaņojumus ar pašvaldību, Dabas aizsardzības pārvaldi un citām institūcijām, kā arī eksperta atzinumu, ja mežs ieaudzēts mikroliegumā. Valsts meža dienests mēneša laikā pārbauda mežaudzes atbilstību, nosaka precīzu platību un pieņem lēmumu par meža ieaudzēšanas atzīšanu, informējot pretendentu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izmaksas par ieaudzētā meža agrotehnisko kopšanu, finansējuma saņēmējs un, ja attiecināms, sadarbības partneris sagatavo apliecinājumu un pieņemšanas–nodošanas aktu ar informāciju par zemes vienības kadastra apzīmējumu, meža kvartālu, nogabalu un kopšanas platību. Savukārt, lai saņemtu izmaksas par meliorācijas infrastruktūras izveidi, pārbūvi vai atjaunošanu, sadarbības iestādei iesniedz pieņemšanas–nodošanas aktu ar norādi par darbību īstenošanas vietu un meliorācijas grāvju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attiecināmas no 2026. gada 1. janvāra, bet projektu nedrīkst pabeigt pirms tā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Ilggadīgo stādījumu izveides</w:t>
      </w:r>
      <w:r w:rsidR="00000000" w:rsidRPr="00000000" w:rsidDel="00000000">
        <w:rPr>
          <w:rtl w:val="0"/>
        </w:rPr>
        <w:t xml:space="preserve"> revitalizācijas veids īstenojams pasākuma piektajā atlases kārtā un tas ietver revitalizācijas stratēģijās vai ekspertu atzinumos ietverto konkrētajai teritorijai atbilstošo ilggadīgo stādījumu ierīkošanu. Tā īstenošanai ir noteiktas atbalstāmās izmaksas, kas noteiktas MK noteikumu projekta 24. punktā un faktiskās izmaksas ilggadīgo stādījumu kā piemēram lielogu dzērveņu, krūmmelleņu un paludikultūru kā niedru un sfagnu stādījumu izveidi un to kopšanas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Stādījumu izveidei izmanto tikai sertificētu un pārbaudītu standarta pavairojamo materiālu saskaņā ar normatīvajiem aktiem par ogulāju pavairošanu. Kā arī izstrādā mēslošanas plānu, ņemot vērā augsnes vai augu lapu analīzes, kas nav vecākas par vienu gadu, bet īpaši jutīgajā teritorijā, mēslošanas plānu izstrādā saskaņā ar normatīvajiem aktiem par ūdens un augsnes aizsardzību no lauksaimnieciskās darbības izraisīta piesārņojuma ar nitrātiem.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platība, kurā īstenojama ilggadīgo stādījumu izveide nav mazāka par 0,5 ha. Kad stādījumi ir izveidoti to ierīkošanu ilggadīgo ogulāju gadījumā apliecina to reģistrēšana Lauku atbalsta dienesta Lauka bloku kartē, bet tādu stādījumu kā niedru un sfagnu gadījumā to apliecina pieņemšanas-nodošanas akts, kurā norādīta ierīkotā stādījumu platība un tās veids ar piesaisti kadastra apzīmējumam vai kadastra numuram.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izveidē, ja teritorija atrodas upju sateces baseinā, kas novērtēts kā riska ūdensobjekti, atbalstu par meliorācijas sistēmu pārbūvi un atjaunošanu piešķir tikai par videi saudzīgu meliorācijas sistēmu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VKIV degradācijas stāvoklis ir atšķirīgs, tāpat kā arī uz konkrēto vietu attiecināmie biotiskie un abiotiskie faktori, kā arī ņemot vērā šo ilggadīgo stādījumu ieaudzēšanas sarežģītību un to, ka katrā no projekta īstenošanas teritorijām ir jāizstrādā individuāls risinājums un  darbības jāīsteno līdz 2029. gada 31. decembrim, projekta laikā var rasties papildu neparedzētie izdevumi. Līdzšinējā pieredze VARAM pārziņā esošajos infrastruktūras būvniecības ES fondu projektos rāda, ka finansējuma saņēmēji  mēdz izmantot MK noteikumos iekļauto normu par neparedzētajiem izdevumiem un noteiktais 4% ierobežojums ir optimāls. Neparedzētie izdevumi ir izdevumi tādu papildu darbu vai pakalpojumu veikšanai, kas kļuvuši nepieciešami, lai varētu izpildīt vienošanos par projekta īstenošanu un izmantot ar projekta īstenošanu saistīto attiecināmo izmaksu segšanai. Neparedzēto izdevumu faktiskai izmantošanai finansējuma saņēmējs sadarbības iestādē iesniegs pamatojumu neparedzēto līdzekļu nepieciešamībai, un to nepieciešamību izvērtēs sadarbības iestāde. Tādēļ MK noteikumu projekts paredz, ka finansējuma saņēmējs nepieciešamības gadījumā var izmantot neparedzēto izmaksu apjomu 4% apmērā no projekta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piektajā atlases kārtā īstenojot ilggadīgo stādījumu ierīkošanu netiek paredzētas netiešās izmaksas. Bet obligāto ar projekta darbībām komunikācijas un vizuālās identitātes prasību nodrošināšanas izmaksas ir tiešās attiecināmās izmaksas, ko 100 procentu apmērā sedz no TPF finansējuma un tās nedrīkst pārsniegt vienu % no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ierīkošanā atbalsts tiek piešķirts piemērojot komercdarbības regulējumu saskaņā ar regulas Nr. 2022/2472 14. panta 3. punkta “e” un “f” apakšpunktu, ievērojot šādus minētās regulas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pieejams mikrouzņēmumiem, mazajiem un vidējiem uzņēmumiem, kas nodarbojas ar primāro lauksaimniecisko ražošanu (regulas Nr. 2022/2472 2. panta 52. apakšpunkts; 1. panta 1. punkta 2. apakšpunkta “i”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netiek piemērots gadījumos, kas minēti regulas Nr. 2022/2472 1. panta 3.–5. punktā – ja uzņēmumam ir spēkā līdzekļu atgūšanas rīkojums, tas ir grūtībās nonācis vai uz to attiecas citi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projektiem, kuriem nepieciešams ietekmes uz vidi vai sākotnējās ietekmes izvērtējums saskaņā ar normatīvajiem aktiem par ietekmes uz vidi novērtējuma veikšanu, tas jāveic pirms projekta apstiprināšanas un atbalsta piešķiršanas ar regulu Nr. 2022/2472 ( regulas Nr. 2022/2472 14.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- 14. panta 6.punkta 4. apakšpunkta iv) punktā ietvertie nosacījumi, ka ja tiek izveidota apūdeņošanas sistēmā, kura ietekmē pazemes vai virszemes ūdensobjektus, kuriem upju baseinu apgabalu apsaimniekošanas plānā ar ūdens daudzumu saistītu iemeslu dēļ stāvoklis noteikts sliktāks par labu, jāpanāk faktisks ūdens patēriņa samazinājums, kas palīdz sasniegt un uzturēt labu ūdensobjektu stāvokli. Ūdens patēriņa samazinājuma nosacījums nav attiecināms, ja saņemts hidrologa atzinums, ka apūdeņošanas sistēma neietekmē pazemes vai virszemes ūdensobjektus. Saskaņā ar upju baseinu apsaimniekošanas plāniem un plūdu riska apsaimniekošanas plāniem (Gaujas, Daugavas, Ventas un Lielupes upju baseiniem), kas izstrādāti laika posmam no 2022. – 2027. gadam, kas aptver visu Latvijas teritoriju un ir atbilstoši ES normatīvo aktu (Direktīva 2000/60/EK un Direktīva 2007/60/EK) prasībām, Daugavas, Gaujas, Ventas un Lielupes baseinu apgabalos pazemes ūdeņu kvantitatīvais stāvoklis ir novērtēts kā labs, bet ūdens ņemšana no virszemes ūdeņiem kopumā nerada būtisku slodzi, izņemot Mazo Baltezeru. Tādēļ regulas Nr. 2022/2472 14. panta 6. punkta 4. apakšpunkta “iv” punktā noteiktais faktiska ūdens patēriņa samazinājuma nosacījums nav attiecināms uz pasākuma trešo un ceturto atlases kārtu, kā arī Latviju kopumā, jo ūdens ieguve ogulāju apūdeņošanai no Mazā Baltezera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Ventas, Lielupes, Daugavas un Gaujas upju baseinu apsaimniekošanas plānos un plūdu riska apsaimniekošanas plānos 2022.-2027. gadam izpētīto pieejamo ūdens resursu izmantošanu, var secināt, ka valstij nav nepieciešams lauksaimniecības zemju apūdeņošanā izmantot attīrītus notekūdeņus un sekojoši reciklēts ūdens Latvijā izmantots lauksaimniecībā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tiek ievēroti nosacījumi par neattiecināmām izmaksām un neatbalstāmiem izdevumiem – maksājumtiesību iegāde, viengadīgo augu un dzīvnieku iegādei, stādīšana, ja tā netiek īstenota uz pakalpojuma līguma pamata. nosusināšanai un instalāciju, kabeļu un dati tīklu ierīkošanu ārpus privātīpašuma (regulas Nr. 2022/2472 14. panta 7.,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 par 2013. gada 17.decembra Eiropas parlamenta un padomes regulu (ES) Nr. 1308/2013  Eiropas parlamenta un padomes regula (ES) Nr. 1308/2013 ar ko izveido lauksaimniecības produktu tirgu kopīgu organizāciju un atceļ Padomes Regulas (EEK) Nr. 922/72, (EEK) Nr. 234/79, (EK) Nr. 1037/2001 un (EK) Nr. 1234/2007  regulas noteiktos aizliegumus un ierobežojumus augkopības sektorā (regulas Nr. 2022/2472 14. panta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TPF finansējuma intensitāte ilggadīgo stādījumu izveidē ir 80%, izņemot apūdeņošanas sistēmas izveidi un tīrīšanu (ja attiecināms), kam maksimālā TPF atbalsta intensitāte noteikta kā 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ilggadīgo stādījumu izveidi saistītos līgumus slēdz un darbības uzsāk pēc projekta iesnieguma iesniegšanas sadarbības iestādē, vienīgie līgumi, kas var būt noslēgti pirms projekta iesnieguma iesniegšanas ir saistīti ar būvprojekta izstrādi, ievērojot regulas Nr. 2022/2472 6. panta 2. punkta stimulējošās ietekmes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ogulāju izveidošanai attiecināmas izmaksas par stādījumu kopšanu – mulčēšanu, ķemmēšanu, stīgu apgriešanu, krūmu veidošanu, nezāļu ierobežošanu –, kā arī par kaitēkļu un slimību apkarošanu, dabisko līdzekļu izmantošanu, bojāto zaru izgriešanu. Ar mērķi veicināt aktīvu projektu iesniedzēju un sadarbības partneru (ja attiecināms) iesaisti un investīciju uzsākšanu, ogulāju izveide paredzēta jau 2026. gadā, lai kopšanas izmaksas varētu attiecināt līdz 202.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ierīkošanu apliecina: paludikultūru gadījumā – pieņemšanas–nodošanas akts un ģeotelpiskā karte ar stādījumu izvietojumu; ogulāju gadījumā – Lauku atbalsta dienesta lauku bloka kartes apliecinājums par reģistrētajiem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Ilggadīgo stādījumu izveides izmaksas ir attiecināmas mikrouzņēmumiem, mazajiem un vidējiem uzņēmumiem, atbilstoši regulas Nr. 2022/2472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finansējuma saņēmējam un sadarbības partnerim (ja attiecināms) pēc vienošanās par projekta īstenošanu vai civiltiesiskā līguma noslēgšanas sadarbības iestāde, pamatojoties uz finansējuma saņēmēja avansa pieprasījumu, sagatavo un apstiprina avansa pieprasījumu, ievērojot, ka avansa un starpposma maksājumu kopsumma nepārsniedz 70% no projektam piešķirtā TPF finansējuma. Šāds piešķiramā avansa maksājumu (līdz 70%) apmērs noteikts kā optimālākais variants, kas nepieciešams pasākuma ceturtās un piektās atlases kārtas projektu īstenošanai, lai tiktu nodrošināti deklarējamie maksājumi un to, ka nepieciešams veicināt investīciju nonākšanu tautsaimniecībā un nodrošināt n+3 principa izpildi un pamatojoties uz MK 2023. gada 25. aprīļa noteikumiem Nr. 205 “Valsts budžeta līdzekļu plānošanas kārtība Eiropas Savienības fondu projektu īstenošanai un maksājumu veikšanai 2021.-2027. gada plānošanas periodā” 16. punktu. Vienlaikus finansējuma saņēmējam tiek noteikta prasība reizē ar avansa pieprasījumu iesniegt pamatojumu par spēju avansu izlietot sešu mēnešu laikā. Avansa izlietošanas termiņš noteikts, ņemot vērā to, ka VKIV revitalizācija un to ietverošās infrastruktūras būvniecība ir cieši saistīta ar sezonalitāti  - ziemas sezonā ir ierobežota dabas apsekošana un būvdarbu veikšana ārtelpā, tādēļ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Dubultās finansēšanas risku novēršana tiks nodrošināta projektu līmenī, pārbaudot informāciju KPVIS un citās informācijas sistēmās, pārliecinoties, ka vienas un tās pašas atbalstāmās darbības un attiecināmās izmaksas netiks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pasākuma ceturto un piekto atlases kārtu ir jāievēro demarkācija ar Zemkopības ministrijas Kopējās Lauksaimniecības politikas stratēģiskā plāna 2023 – 2027. gadam atbalsta intervencēm  intervences "Ieguldījumi ilgtspējīgai mežsaimniecībai" apakšpasākumā "Ieguldījumi meža ieaudzēšanai, nomaiņai, atjaunošanai un retināšanai" un intervencē "Atbalsts meža ekosistēmu noturības un ekoloģiskās vērtības uzlabošanai un uzturēšanai", LA 4.1.2. “Atbalsts ieguldījumiem SEG un amonjaka emisijas samazinošajiem pasākumiem un klimata pārmaiņu mazināšanai un pielāgošanās pasākumu īstenošanai lauku saimniecībās”, LA 4.5. “Mākslīgo mitrāju izveide” un Eiropas Savienības kohēzijas politikas programmas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demarkācija papildus jāvērtē atbilstoši Finanšu ministrijas izstrādātajai demarkācijas matricai, kas pieejama šeit: https://www.esfondi.lv/profesionaliem/demarkacija.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un sadarbības partneri (ja attiecināms), kas īsteno darbības saskaņā ar komercdarbības atbalsta regulējumu, projekta izmaksu pieaugumu, kura segšana kvalificētos kā komercdarbības atbalsts, finansē no līdzekļiem, kas nav saistīti ar jebkādu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ja projekta iesniedzējs vai sadarbības partneris (ja attiecināms) ir juridiska persona, tiek nodrošināta interešu konflikta neesība saskaņā ar Eiropas Parlamenta un Padomes 2024. gada 23. septembra Regulas (ES, Euratom) 2024/2509 par finanšu noteikumiem, kas piemērojami Savienības vispārējam budžetam (pārstrādāta redakcija), 61. pantu un normatīvajiem aktiem publisko iepirkumu jomā, kā arī sniegts parakstīts apliecinājums par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īstenošanai nav ietekmes uz HP “Energoefektivitāte pirmajā vietā”, tāpēc netiek izvirzīti nosacījumi šī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HP “Klimatdrošināšana” (netieša pozitīva ietekme) pasākuma ceturtajā un piektajā atlases kārtā netiek tieši piemērots, jo atbalstāmo darbību īstenošana jau nodrošina pielāgošanos klimata pārmaiņām, samazina klimatiskos riskus un veicina SEG emisiju samazinājumu. Tā kā pasākuma uzraudzības rādītāji ietver tiešu SEG emisiju samazinājuma un ietaupījuma mērīšanu, noteikumu projekts neparedz papildu darbības vai izmaksas, jo esošās investīcijas jau nodrošina HP “Klimatdrošināšanas”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 nosacījumus nodrošināt, ka pēc projekta pabeigšanas, projekta īstenošanas teritorijās projekta dzīves ciklā tie uzturēti iegūtie rezultāti un veikta apsaimniekošanas saskaņā ar konkrētajā revitalizācijas stratēģiju un ekspertu norādījumiem un atbilstoši ieaudzēto stādījumu vai meža kopšanai, tostarp jānodrošina, ka netiek uzsākta kūdras ieguve. Vienlaikus, ja ir īstenojot revitalizāciju tā jāveic atbilstoši teritorijas plānošanas dokumentos noteiktajam zonējumam un prasībām vai arī jāsaņem saskaņojums ar vietējo pašvaldību, ja teritorijas plānošanas dokumentos nav norādīts projekta plānoto darbību atbilstošs zemes izmantošanas veids. Tāpat, ja tiek īstenota zemes lietojuma veida maiņa vai nekustamā īpašuma lietošanas mērķa maiņa, tai jānotiek saskaņā ar šo jomu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darbības ĪADT, mikroliegumos un ES nozīmes biotopos darbības īsteno saskaņā ar dabas aizsardzības plāniem un ĪADT aizsardzības un izmantošanas noteikumiem, bet ja tādu nav, tas saņemot sertificēta sugu un biotopu eksperta atzinumu par īstenoto darbību atbilstību biotopu un ekosistēmu kvalitātes uzlabošanai. Ja darbības paredz hidroloģiskā režīma izmaiņas ĪADT, papildus jāsaņem hidrologa atzinums, kurā tiek aprakstītas plānotās izmaiņas un to ietekme uz blakus teritorijām, kurās netiek īstenotas projekta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darbības jānodrošina, ka tās tiek īstenotas ievērojot normatīvo aktu prasības par ietekmes uz vidi, sākotnējā ietekmes izvērtējuma, kā arī tehnisko noteikumu saņemšanas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Horizontālais princips “Nenodarīt būtisku kaitējumu” pasākumā trešajā atlases kārtā (tieša ietekme) iekļauts prasībās par projekta darbību īstenošu nodrošinot, ka būvniecības procesa laikā tiks ievērotas prasības par koku ciršanas aizliegumu putnu ligzdošanas, un piemērotas prasības par videi saudzīgu meliorācijas elementu izveidi projekta īstenošanas teritorijās ja tās  atrodas riska ūdensobjektu sateces baseinos.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"Vienlīdzība, iekļaušana, nediskriminācija un pamattiesību ievērošana" (turpmāk – HP VINPI) noteikts, ka pasākuma ceturtajai un piektajai atlases kārtai nav ietekmes uz šo HP (projektu mērķis ir tehniska, būvniecības, zemes lietošanas veida maiņas rakstura, ieguldījumi nav saistīti ar cilvēkresursu attīstību vai publisko būvju un ārtelpas izveidi), kas nozīmē, ka projektā būs jāiekļauj viena vispārīga šī principa darbība, kas attiecas uz publicitāti.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84.–87. punkts nosaka prasības attiecībā uz komercdarbības un de minimis atbalsta dokumentācijas glabāšanu, pārredzamības nodrošināšanu un nelikumīga atbalsta atgūšanu. Finansējuma saņēmējam ir pienākums glabāt ar komercdarbības un de minimis atbalstu saistīto projekta dokumentāciju 10 gadus no dienas, kad piešķirts atbalsts. Sadarbības iestāde savukārt glabā informāciju un apliecinošos dokumentus par sniegto atbalstu 10 gadus no pēdējā atbalsta piešķiršanas dienas, kā arī nodrošina komercdarbības atbalsta pārredzamības prasību izpildi saskaņā ar Eiropas Komisijas regulām Nr. 651/2014, Nr. 2022/2472 un normatīvajiem aktiem par publisko informācijas pieejamību. Ja tiek konstatēti regulās noteikto nosacījumu pārkāpumi, finansējuma saņēmējam ir pienākums atmaksāt nelikumīgi saņemto komercdarbības atbalstu ar procentiem, ievērojot Komercdarbības atbalsta kontroles likuma IV vai V nodaļā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Ieviešanā iesaistītas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ceturtās un piektās atlases kārtas īstenošanu atbildīgā iestāde ir VARAM. Centrālā finanšu un līgumu aģentūra kā sadarbības iestāde un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projekta iesnieguma vērtēšanas kritēriji tiks izskatīti ES fondu 2021. - 2027. gada plānošanas perioda apakškomitejā un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Projektu iesniegums, tā vērtēšana un atlases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ceturtajā un piektajā atlases kārtā vienā projektā iekļauj vienu vai vairākas pasākuma īstenošanas teritorijas un projekta iesniedzējs iesniedz vairākus projekta iesniegumus, vienlaikus nodrošina regulas Nr. 2022/2472 nosacījumus, ka, īstenojot ilggadīgo stādījumu ierīkošanu, atbalsta summa vienam uzņēmumam vienā projektā nepārsniedz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ietvaros sadarbības iestāde lēmumu par ES fonda projekta iesnieguma apstiprināšanu, apstiprināšanu ar nosacījumu vai noraidīšanu pieņem ne vēlāk kā trīs mēnešu laikā pēc ES fonda projekta iesnieguma iesniegšanas beigu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Īstenošana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uzraudzību nodrošina sadarbības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ceturtajā atlases kārtā pašvaldībām kā projektu iesniedzējiem vai sadarbības partneriem projektā, projektā vai tā daļā, kur netiks īstenotas darbības, kam piemērojams komercdarbības atbalsts, bet paredzēts gūt ieņēmumus, kas nepārsniedz 50% no teritoriju uzturēšanas izmaksām, tiks izvirzīta prasība veikt finanšu analīzi atbilstoši sadarbības iestādes izstrādātajiem metodiskajiem norādījumiem, ievērojot prasības, ka projekta ekonomiskā ienesīguma normai ir jābūt lielākai par sociāla diskonta likmi. Aprēķinos jāņem vērā, ka projekta dzīves cikls iekļauj projekta īstenošanas laiku un pēcuzraudzības periodu un ir vismaz 15 gadi. Minētais nosacījums ir attiecināms tikai uz pasākuma ceturto atlases kārtu un tikai uz pašvaldībām kā projektu iesniedzējiem, un pašvaldībām kā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Sociālekonomisko novērtējuma vērtības ir aprēķinātas pasākuma pirmās atlases kārtas ietvaros un var tikt izmantotas pasākuma ceturtās un piektās atlases kārtas sociālekonomisko ieguvumu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izmaksu un ieguvumu analīzes prasības, projektam jāuzrāda spēja palielināt kopējo ekonomikas labklājību vai iegūt pozitīvus sociālekonomiskos efektus. Līdz ar to tiktu nodrošināts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pirmās atlases kārtas ietvaros ir izstrādāts sociālekonomiskais novērtējums visiem pasākuma ceturtajā un piektajā atlases kārtā īstenojamajiem revitalizācijas veidiem, kas uzskaita ieguvumus, ko sniedz degradētu vēsturisko kūdras ieguves vietu atjaunošana kultūras, dabas, klimata, vides un tautsaimniecības jomās, kur visas šajās jomās tiek norādīti ieguvumi pretēji sākotnēji teritorijas degradētajam stāvoklim.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pārkārtošanās teritoriālais plāns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ilgtspējīgas izmantošanas pamatnostādnes 2020. – 2030.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enerģētikas un klimata plāns 2021. – 2030.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politikas pamatnostādnes 2021.–2027.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fiziskas personas, kuras ir privātīpašnieki VKIV un vēlas īstenot šo teritoriju revitalizāciju. Fiziskām personām būs iespēja saņemt atbalstu savu īpašumu apsaimniekošanai, ja tās veiks purvu renaturalizāciju, apmežošanu, ilggadīgo stādījumu ieaudzēšanu vai ūdenstilpju izveidi. Šāda rīcība veicinās īpašumu vērtības pieaugumu un uzlabos to ekoloģisko stāvokli, pārvēršot degradētas teritorijas par ainaviski, ekoloģiski un saimnieciski vērtīgām platībām. Projekts arī sekmēs vides atjaunošanu un klimata mērķu sasniegšanu, jo tiks veidotas oglekli piesaistošas un bioloģisko daudzveidību atbalstošas teritorijas. Dalība pasākumā ir brīvprātīga, un noteikumu īstenošana neuzliek papildu pienākumus vai ierobežojumus tiem īpašniekiem, kas neatbalsta projekta īstenošanu savā zemē. Kopumā noteikumu projekts fiziskās personas ietekmēs pozitīvi, radot iespējas ilgtspējīgai zemes izmantošanai un ieguldījumiem teritoriju atjaunošanā.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arī juridiskās personas, kuras ir vēsturisko kūdras ieguves vietu īpašnieces vai tiesiskie valdītāji un vēlas īstenot šo teritoriju revitalizāciju. Juridiskajām personām būs iespēja saņemt atbalstu, ja tās īstenos projektus, kas paredz purvu renaturalizāciju, apmežošanu, ilggadīgo stādījumu ieaudzēšanu vai ūdenstilpju izveidi atbilstoši regulā noteiktajiem nosacījumiem. Tas veicinās uzņēmumu iesaisti ilgtspējīgā dabas resursu apsaimniekošanā, ļaus diversificēt saimniecisko darbību un uzlabot īpašumu ekoloģisko un ekonomisko vērtību. Dalība pasākumā ir brīvprātīga, un noteikumi neparedz papildu pienākumus tiem uzņēmumiem, kas neatbalsta projekta īstenošanu savā īpašumā. Kopumā pasākums juridiskās personas ietekmēs pozitīvi, radot iespējas investēt dabas atjaunošanā, uzlabot uzņēmumu reputāciju un sekmēt pāreju uz ilgtspējīgu saimniekošanu.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piektās atlases kārtas ietvaros juridiskas un privātpersonas var uzsākt vai paplašināt uzņēmējdarbību īstenojot VKIV revitalizāciju.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pozitīvi ietekmēti mazie un vidējie uzņēmumi, kas nodarbojas ar, piemēram, hidroloģisko un hidroģeoloģisko izpēti, tehnikas nomu, meža ieaudzēšanu, stādījumu ierīkošanu, projektēšanas, būvniecības un autoruzraudzības veikšanu vai atzinumu sagatavošanu dažādās jomās, veicinot darbaspēka kapacitātes celšanu.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ceturtās un piektās atlases kārtas īstenošana var radīt papildu un jaunas darba vietas, lai ne tikai īstenoto pasākumā attiecināmās darbības, bet arī nodrošinātu revitalizēto teritoriju turpmāku apsaimniekošanu un produkcijas realizāciju.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1 648 533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6 594 132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1 613 108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6 452 432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-35 425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-141 700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projektu īstenošanas gaitu un plānotajām darbībām. Budžeta ieņēmumi plānoti kā TPF finansējuma atmaksas, savukārt izdevumi - projektā plānotā TPF finansējuma (85%) un projekta ceturtajā īstenošanas kārtā - pašvaldību budžeta līdzfinansējuma (15%) summa, bet projekta piektajā īstenošanas kārtā - netiek plānota nacionāla līdzfinansējuma ietekme, jo to segs finansējuma saņēmēji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ceturtās un piekās atlases kārtas īstenošanai paredzēti budžeta izdevumi 16 485 328 </w:t>
            </w:r>
            <w:r w:rsidR="00000000" w:rsidRPr="00000000" w:rsidDel="00000000">
              <w:rPr>
                <w:sz w:val="24"/>
                <w:i w:val="1"/>
                <w:rtl w:val="0"/>
              </w:rPr>
              <w:t xml:space="preserve">euro</w:t>
            </w:r>
            <w:r w:rsidR="00000000" w:rsidRPr="00000000" w:rsidDel="00000000">
              <w:rPr>
                <w:sz w:val="24"/>
                <w:rtl w:val="0"/>
              </w:rPr>
              <w:t xml:space="preserve">, tai skaitā 16 131 079 </w:t>
            </w:r>
            <w:r w:rsidR="00000000" w:rsidRPr="00000000" w:rsidDel="00000000">
              <w:rPr>
                <w:sz w:val="24"/>
                <w:i w:val="1"/>
                <w:rtl w:val="0"/>
              </w:rPr>
              <w:t xml:space="preserve">euro</w:t>
            </w:r>
            <w:r w:rsidR="00000000" w:rsidRPr="00000000" w:rsidDel="00000000">
              <w:rPr>
                <w:sz w:val="24"/>
                <w:rtl w:val="0"/>
              </w:rPr>
              <w:t xml:space="preserve"> kā TPF finansējuma atmaksas un pasākuma īstenošanai ir paredzēts pašvaldību vai privātais līdzfinansējums – ceturtās pasākuma kārtas īstenošanai nepieciešamais plānotais pašvaldību budžeta līdzfinansējums 354 249 </w:t>
            </w:r>
            <w:r w:rsidR="00000000" w:rsidRPr="00000000" w:rsidDel="00000000">
              <w:rPr>
                <w:sz w:val="24"/>
                <w:i w:val="1"/>
                <w:rtl w:val="0"/>
              </w:rPr>
              <w:t xml:space="preserve">euro</w:t>
            </w:r>
            <w:r w:rsidR="00000000" w:rsidRPr="00000000" w:rsidDel="00000000">
              <w:rPr>
                <w:sz w:val="24"/>
                <w:rtl w:val="0"/>
              </w:rPr>
              <w:t xml:space="preserve">, un piektajā pasākuma kārtas īstenošanai – privātais līdzfinansējums ir plānots 2 492 413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paredzētās atmaksas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0 </w:t>
            </w:r>
            <w:r w:rsidR="00000000" w:rsidRPr="00000000" w:rsidDel="00000000">
              <w:rPr>
                <w:sz w:val="24"/>
                <w:i w:val="1"/>
                <w:rtl w:val="0"/>
              </w:rPr>
              <w:t xml:space="preserve">euro</w:t>
            </w:r>
            <w:r w:rsidR="00000000" w:rsidRPr="00000000" w:rsidDel="00000000">
              <w:rPr>
                <w:sz w:val="24"/>
                <w:rtl w:val="0"/>
              </w:rPr>
              <w:t xml:space="preserve">, ņemot vērā projektu iesniegumu sagatavošanas, iesniegšanas, vērtēšanas un līguma par projekta īstenošanu noslēgšanas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1 648 533 </w:t>
            </w:r>
            <w:r w:rsidR="00000000" w:rsidRPr="00000000" w:rsidDel="00000000">
              <w:rPr>
                <w:sz w:val="24"/>
                <w:i w:val="1"/>
                <w:rtl w:val="0"/>
              </w:rPr>
              <w:t xml:space="preserve">euro</w:t>
            </w:r>
            <w:r w:rsidR="00000000" w:rsidRPr="00000000" w:rsidDel="00000000">
              <w:rPr>
                <w:sz w:val="24"/>
                <w:rtl w:val="0"/>
              </w:rPr>
              <w:t xml:space="preserve">, no kuriem TPF finansējums veido 1 613 108 </w:t>
            </w:r>
            <w:r w:rsidR="00000000" w:rsidRPr="00000000" w:rsidDel="00000000">
              <w:rPr>
                <w:sz w:val="24"/>
                <w:i w:val="1"/>
                <w:rtl w:val="0"/>
              </w:rPr>
              <w:t xml:space="preserve">euro</w:t>
            </w:r>
            <w:r w:rsidR="00000000" w:rsidRPr="00000000" w:rsidDel="00000000">
              <w:rPr>
                <w:sz w:val="24"/>
                <w:rtl w:val="0"/>
              </w:rPr>
              <w:t xml:space="preserve">, bet pašvaldību budžeta līdzfinansējums veido 354 249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6 594 131 </w:t>
            </w:r>
            <w:r w:rsidR="00000000" w:rsidRPr="00000000" w:rsidDel="00000000">
              <w:rPr>
                <w:sz w:val="24"/>
                <w:i w:val="1"/>
                <w:rtl w:val="0"/>
              </w:rPr>
              <w:t xml:space="preserve">euro</w:t>
            </w:r>
            <w:r w:rsidR="00000000" w:rsidRPr="00000000" w:rsidDel="00000000">
              <w:rPr>
                <w:sz w:val="24"/>
                <w:rtl w:val="0"/>
              </w:rPr>
              <w:t xml:space="preserve">, no kuriem TPF finansējums veido 6 452 432 </w:t>
            </w:r>
            <w:r w:rsidR="00000000" w:rsidRPr="00000000" w:rsidDel="00000000">
              <w:rPr>
                <w:sz w:val="24"/>
                <w:i w:val="1"/>
                <w:rtl w:val="0"/>
              </w:rPr>
              <w:t xml:space="preserve">euro</w:t>
            </w:r>
            <w:r w:rsidR="00000000" w:rsidRPr="00000000" w:rsidDel="00000000">
              <w:rPr>
                <w:sz w:val="24"/>
                <w:rtl w:val="0"/>
              </w:rPr>
              <w:t xml:space="preserve">, bet pašvaldību budžeta līdzfinansējums veido 141 700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6 594 131 </w:t>
            </w:r>
            <w:r w:rsidR="00000000" w:rsidRPr="00000000" w:rsidDel="00000000">
              <w:rPr>
                <w:sz w:val="24"/>
                <w:i w:val="1"/>
                <w:rtl w:val="0"/>
              </w:rPr>
              <w:t xml:space="preserve">euro</w:t>
            </w:r>
            <w:r w:rsidR="00000000" w:rsidRPr="00000000" w:rsidDel="00000000">
              <w:rPr>
                <w:sz w:val="24"/>
                <w:rtl w:val="0"/>
              </w:rPr>
              <w:t xml:space="preserve">, no kuriem TPF finansējums veido 6 452 432 </w:t>
            </w:r>
            <w:r w:rsidR="00000000" w:rsidRPr="00000000" w:rsidDel="00000000">
              <w:rPr>
                <w:sz w:val="24"/>
                <w:i w:val="1"/>
                <w:rtl w:val="0"/>
              </w:rPr>
              <w:t xml:space="preserve">euro</w:t>
            </w:r>
            <w:r w:rsidR="00000000" w:rsidRPr="00000000" w:rsidDel="00000000">
              <w:rPr>
                <w:sz w:val="24"/>
                <w:rtl w:val="0"/>
              </w:rPr>
              <w:t xml:space="preserve">, bet pašvaldību budžeta līdzfinansējums veido 141 700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2029.gadā: 1 648 533 euro, no kuriem TPF finansējums veido 1 613 108 euro, bet pašvaldību budžeta līdzfinansējums veido 354 249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plānoti kā TPF finansējuma atmaksas, savukārt izdevumi - projektā plānotais TPF finansējuma un pašvaldību budžeta līdzfinansējuma daļas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šāda intervences koda: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074 - Rūpniecisku un piesārņotu vietu sanācija, kas atbilst efektivitātes kritērijiem.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TPF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plānoti kā TPF finansējuma un valsts budžeta līdzfinansējuma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neietekmē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un sadarbības partnerim (ja attiecināms) netiek noteikta iespēja saņemt avansa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ceturtajā un piektajā atlases kārtā nepieciešamā TPF finansējuma daļa tiks pieprasīta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finansējums infrastruktūras uzturēšanai finansējuma saņēmējam būs jāsedz no saviem līdzekļiem, finansējuma saņēmējs un sadarbības partneris (ja attiecināms) izvērtē spēju izdevumus segt patstāvīgi.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 jūnija Regulas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pārņemtas normas attiecībā uz projektā nodrošināmo komunikācijas un vizuālās identitātes prasībām un pievienotās vērtības nodokļa attiecināmību, neparedzot stingrākas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Regulas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darbībām ekosistēmu atjaunošanai, bioloģiskās daudzveidības saglabāšanai un u un klimata pārmaiņu mazināšanai VKIV revitalizācijā īstenojot renaturalizāciju un ūdenstilpju izveidi.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VKIV revitalizācijā īstenojot meža ieaudzēšanu, ieaudzētā meža agrotehnisko kopšanu un meža ieaudzēšanai nepieciešamās meliorācijas sistēmas atjaunošanu, pārvaidi vai izveidi.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īstenojot VKIV revitalizāciju veidojot ilggadīgos stādījumus.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interešu konflikta neesības nosacījumu ievērošanai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 jūnija Regulas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1. punkta "b", "d" un "e"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27.punkts, 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punkts, 80.punkts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 un 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Regulas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 "c" un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sniegt atbalstu tikai daļai no 45. pantā (un attiecīgi šajā punktā) minētajām darbībām, proti, darbības bioloģiskās daudzveidības vai ekosistēmu aizsardzībai vai atjaunošana nolūkā palīdzēt ekosistēmām sasniegt labu stāvokli vai aizsargāt ekosistēmas, kas jau ir labā stāvoklī un klimata pārmaiņu mazināšanai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4.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5. 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34.8. un 34.9.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9. punkta "b" apakšpunkts un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jānosūta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"e" un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2.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3.punkta “e” un “f”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tiek sniegts tikai daļai no 14. pantā minētajām darbībām, konkrēti: ieguldījumiem klimata pārmaiņu mazināšanā un klimatadaptācijā, kas ietver siltumnīcefekta gāzu emisiju samazināšanu, oglekļa sekvestrēšanas uzlabošanu, kā arī ilgtspējīgas enerģijas un energoefektivitātes veicināšanu; kā arī aprites bioekonomikas sekmēšanu un dabas resursu — ūdens, augsnes un gaisa — ilgtspējīgas un efektīvas apsaimniekošanas veicināšanu.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punkta 4. apakšpunka "iv"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2022.–2027. gada upju baseinu un plūdu riska apsaimniekošanas plāniem Daugavas, Gaujas, Ventas un Lielupes baseinos pazemes ūdeņu kvantitatīvais stāvoklis ir labs, un virszemes ūdens ņemšana nerada būtisku slodzi, izņemot Mazo Baltezeru. Tādēļ regulas Nr. 2022/2472 14. panta 6. punkta 4. apakšpunkta “iv” nosacījums par faktisko ūdens patēriņa samazinājumu nav attiecināms uz pasākuma trešo un ceturto kārtu, jo ogulāju apūdeņošanai no Mazā Baltezera ūdens netiek ņemts. Tāpat secināts, ka valstij nav nepieciešams izmantot attīrītus notekūdeņus lauksaimniecības apūdeņošanai, un reciklēts ūdens Latvijā netiek pielietots lauksaimniecībā.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11.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jānosūta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aktivitātes ietekmē Nacionālā attīstības plāna 2021.˗2027. gadam rīcības virziena “Daba un vide “Zaļais kurss”” rīcības virziena mērķi Nr. 257 “Oglekļa mazietilpīga, resursu efektīva un klimatnoturīga attīstība, lai Latvija sasniegtu klimata, enerģētikas, gaisa piesārņojuma samazināšanas, ūdeņu stāvokļa uzlabošanās un atkritumu apsaimniekošanas nacionālos mērķus un nodrošinātu vides kvalitātes saglabāšanu un uzlabošanu un īstenotu drošas un kvalitatīvas, tai skaitā bioloģiskas pārtikas apriti, kā arī dabas resursu ilgtspējīgu izmantošanu” un rīcības virziena mērķi Nr. 258 “Bioloģiskās daudzveidības saglabāšana, kas balstīta zinātniskajos pētījumos, līdzsvarojot ekoloģiskās, ekonomiskās un sociālās intereses”, kā arī prioritātes mērķis Nr. 244 “Dzīves vides kvalitātes uzlabošana līdzsvarotai reģionu attīstībai” apakšmērķi Nr. 249, kas nosaka dabas resursu izmantošanu dabai draudzīgu, viedu un tautsaimniecību attīstībai nozīmīgu materiālu un pakalpojumu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pozitīvi ietekmēs teritoriju attīstību, jo tas veicinās degradēto un pamesto kūdras ieguves vietu atjaunošanu un integrēšanu apkārtējā ainavā. Revitalizētās teritorijas kļūs piemērotas dažādām ilgtspējīgām izmantošanas formām – dabas aizsardzībai, rekreācijai, ekoloģiskajai lauksaimniecībai vai ainaviskai mežsaimniecībai. Tas uzlabos vides kvalitāti un pievilcību lauku reģionos, sekmējot iedzīvotāju un uzņēmumu interesi par teritoriju attīstību. Vienlaikus šādas aktivitātes veicinās vietējo kopienu iesaisti, radīs jaunas saimnieciskās iespējas un stiprinās teritoriju noturību pret klimata pārmaiņu ietekmi. Kopumā pasākums veidos priekšnoteikumus līdzsvarotai, vides un ekonomikas interesēm atbilstošai teritoriju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būtiski ietekmēs vides jomu, jo tas veicinās degradēto teritoriju atjaunošanu un oglekļa piesaistes palielināšanu, samazinās siltumnīcefekta gāzu emisijas no pamestajām kūdras ieguves vietām, uzlabos ūdens un augsnes kvalitāti, kā arī stiprinās ekosistēmu noturību pret klimata pārmaiņu ietekmi. Turklāt, atjaunojot purvu un mitrzemju ekosistēmas, tiks uzlabota ainavas estētiskā un ekoloģiskā vērtība, veicinot dabas procesu atjaunošanos un ilgtspējīgu teritoriju izmantošanu.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paredzētās  aktivitātes būtiski sekmēs kopējos klimata pārmaiņu mazināšanas mērķus Latvijas un ES līmenī, jo investīciju rezultātā tiks samazinātas SEG emisijas kūdras sektorā un stiprinātas zemes CO2 piesaistītājsistēmas, ilgtspējīgi apsaimniekojot ekosistēmas, kā arī attiecināma HP “Klimatdrošināšana” darbību īstenošana.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izstrādātajām vadlīnijām “Horizontālais princips “Vienlīdzība, iekļaušana, nediskriminācija un pamattiesību ievērošana”. Vadlīnijas īstenošanai un uzraudzībai (2021-2027)” 1.pielikumā norādītajam, pasākumam nav ietekmes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tiks ievēroti vispārējie nediskriminācijas principi, kā arī sadarbības iestāde, kas informēs sabiedrību par pasākuma ieviešanu, ņems vērā prasības attiecībā uz informācijas piekļūstamību.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25-TA-2249</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25-TA-2249</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anotācija_(ex_ante)_25-TA-2249.docx</dc:title>
</cp:coreProperties>
</file>

<file path=docProps/custom.xml><?xml version="1.0" encoding="utf-8"?>
<Properties xmlns="http://schemas.openxmlformats.org/officeDocument/2006/custom-properties" xmlns:vt="http://schemas.openxmlformats.org/officeDocument/2006/docPropsVTypes"/>
</file>