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4. aprīļa noteikumos Nr. 199 "Noteikumi par dabasgāzes apriti un akcīzes nodokļa piemērošanas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atbilstoši 2021.gada 21.oktobrī pieņemtajam likumam “Grozījumi likumā “Par akcīzes nodokli””, kas stājās spēkā 2022.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2017. gada 4. aprīļa noteikumos Nr. 199 “Noteikumi par dabasgāzes apriti un akcīzes nodokļa piemērošanas kārtību”” (turpmāk – noteikumu projekts) mērķis ir precizēt kārtību, kā atbrīvojumu piemēro dabasgāzei, kura tiek izmantota dabasgāzes pārvades, uzglabāšanas un  sadales sistēmā dabasgāzes pārvades, uzglabāšanas vai sadales sistēmas tehnoloģisko vajadzību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akcīzes nodokļa taksācijas periods ir viens kalendārais mēnesis, noteikumu projektam jāstājas spēkā ar mēneša pirmo datumu.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1.Likuma "Par akcīzes nodokli" (turpmāk - likums) 6.</w:t>
      </w:r>
      <w:r w:rsidR="00000000" w:rsidRPr="00000000" w:rsidDel="00000000">
        <w:rPr>
          <w:vertAlign w:val="superscript"/>
          <w:rtl w:val="0"/>
        </w:rPr>
        <w:t xml:space="preserve">1</w:t>
      </w:r>
      <w:r w:rsidR="00000000" w:rsidRPr="00000000" w:rsidDel="00000000">
        <w:rPr>
          <w:rtl w:val="0"/>
        </w:rPr>
        <w:t xml:space="preserve"> panta ceturtā daļa nosaka, ka ar akcīzes nodokli neapliek dabasgāzi, kuru  dabasgāzes pārvades un uzglabāšanas sistēmas operators un dabasgāzes sadales sistēmas operators izlieto dabasgāzes pārvades, uzglabāšanas vai sadales sistēmas tehnoloģiskajām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Akcīzes nodokļa taksācijas periods ir viens kalendārais mēnesis, kas sakrīt arī ar dabasgāzes norēķinu periodu, kurā galalietotājs sniedz informāciju dabasgāzes tirgotājam par dabasgāzes apjomu sadalījumā pa izmantošanas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3.Lauku atbalsta dienests pēc pieteikumu izvērtēšanas un lēmuma pieņemšanas informē dabasgāzes piegādātājus par tiem dabasgāzes galalietotājiem, kuri saņēmuši tiesības iegādāties dabasgāzi ar likuma 15.</w:t>
      </w:r>
      <w:r w:rsidR="00000000" w:rsidRPr="00000000" w:rsidDel="00000000">
        <w:rPr>
          <w:vertAlign w:val="superscript"/>
          <w:rtl w:val="0"/>
        </w:rPr>
        <w:t xml:space="preserve">1</w:t>
      </w:r>
      <w:r w:rsidR="00000000" w:rsidRPr="00000000" w:rsidDel="00000000">
        <w:rPr>
          <w:rtl w:val="0"/>
        </w:rPr>
        <w:t xml:space="preserve"> panta pirmās daļas 3. punktā noteikto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Apstiprināts noliktavas turētājs darbībām ar dabasgāzi dabasgāzes piegādei izmanto ne tikai īpašumā, bet arī valdījumā esošās dabasgāzes tehnoloģiskās iekārtas.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administrējot akcīzes nodokli dabasgāzei, ir konstatējis, ka vienotais dabasgāzes pārvades un uzglabāšanas sistēmas operators sniedz arī pakalpojumu - dabasgāzes iesūknēšanu krātuvē. Saskaņā ar Sabiedrisko pakalpojumu regulēšanas komisijas padomes 2020.gada 1.oktobra lēmumu Nr.1/14 “Inčukalna pazemes gāzes krātuves lietošanas noteikumi” 50.punktu dabasgāzes pārsūknēšanas agregātu darbībai nepieciešamo degvielas gāzes daudzumu atbilstoši sistēmas operatora noteiktajam degvielas gāzes patēriņa koeficientam par saviem līdzekļiem nodrošina sistēmas lietotājs. Tādējādi dabasgāzes pārvades un uzglabāšanas sistēmas operators sniedz dabasgāzes iesūknēšanas pakalpojumu, izlietojot dabasgāzi, kuru tam nodrošina sistēmas lietotājs.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likumā noteiktajam, atbrīvojumu izlietotajai dabasgāzei piemēro sistēmas operators, tātad, persona, kurai dabasgāze nepieder un kurai nav akcīzes nodokļa saistību. Savukārt dabasgāzes īpašnieks, kas ir sistēmas lietotājs un kuram ir pienākums operatoram nodrošināt dabasgāzi, nav tiesīgs piemērot atbrīvojumu no akcīzes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Lauku atbalsta dienests konstatē galalietotāja neatbilstību valsts atbalsta saņemšanas nosacījumiem mēneša beigās, var veidoties situācija, ka galalietotājs ir turpinājis saņemt nelikumīgu valsts atbalstu, piemērojot likuma 15.</w:t>
      </w:r>
      <w:r w:rsidR="00000000" w:rsidRPr="00000000" w:rsidDel="00000000">
        <w:rPr>
          <w:vertAlign w:val="superscript"/>
          <w:rtl w:val="0"/>
        </w:rPr>
        <w:t xml:space="preserve">1</w:t>
      </w:r>
      <w:r w:rsidR="00000000" w:rsidRPr="00000000" w:rsidDel="00000000">
        <w:rPr>
          <w:rtl w:val="0"/>
        </w:rPr>
        <w:t xml:space="preserve"> panta pirmās daļas 3. punktā noteikto nodokļa likmi. Šādā situācijā nelikumīgi saņemtais atbalsts ir jāatgūst un atbalsta saņemšana ir jāpārtrauc ar mēneša, kurā konstatēta neatbilstība, pirmo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Dabasgāzes norēķinu periods un akcīzes nodokļa taksācijas periods ir kalendārais mēnesis un dabasgāzes sadales sistēmas operators dabasgāzes tirgotājam sniedz informāciju par taksācijas periodā galalietotājam piegādātās dabasgāzes kopējo apjomu. Gadījumā, ja Lauku atbalsta dienesta lēmums par atbalsta piešķiršanu (samazinātās akcīzes nodokļa likmes piemērošanu) ir pieņemts un piemērojams datumā, kas nav kalendārā mēneša sākuma datums, lai dabasgāzes tirgotājs varētu galalietotājam izrakstīt rēķinu par taksācijas periodā piegādāto dabasgāzi sadalījumā pa dabasgāzes izmantošanas mērķiem, ir nepieciešams noskaidrot kādu dabasgāzes apjomu galalietotājs ir izmantojis līdz atbalsta saņemšanas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dabasgāzes galalietotājs ir industriālā parka pārvaldnieks, kas dabasgāzi nodod tālāk uzņēmumiem izmantošanai kā galalietotājiem, tad Lauku atbalsta dienestam ir pēc būtības ir jāvērtē to uzņēmumu, kas kā faktiskie dabasgāzes galalietotāji saņem dabasgāzi, atbilstība valsts atbalsta saņemšanas nosacījumiem, nevis industriālā parka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Šobrīd Ministru kabineta 2017. gada 4. aprīļa noteikumi Nr. 199 “Noteikumi par dabasgāzes apriti un akcīzes nodokļa piemērošanas kārtību” (turpmāk - MK noteikumi Nr. 199) paredz speciālajā atļaujā (licencē) apstiprināta noliktavas turētāja darbībām ar dabasgāzi norādīt apstiprināta noliktavas turētāja īpašumā esošo dabasgāzes tehnoloģisko iekārtu atrašanās vietas. Kā praksē pierādījies, apstiprināti noliktavas turētāji darbībām ar dabasgāzi dabasgāzes piegādei galalietotājiem izmanto ne tikai īpašumā, bet arī valdījumā esošās dabasgāzes tehnoloģiskās iekārtas.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ar to, ņemot vērā grozījumu likuma 6.</w:t>
      </w:r>
      <w:r w:rsidR="00000000" w:rsidRPr="00000000" w:rsidDel="00000000">
        <w:rPr>
          <w:vertAlign w:val="superscript"/>
          <w:rtl w:val="0"/>
        </w:rPr>
        <w:t xml:space="preserve">1</w:t>
      </w:r>
      <w:r w:rsidR="00000000" w:rsidRPr="00000000" w:rsidDel="00000000">
        <w:rPr>
          <w:rtl w:val="0"/>
        </w:rPr>
        <w:t xml:space="preserve"> panta ceturtajā daļā, ir nepieciešams attiecīgi precizēt MK noteikumu Nr. 199 65. punktu, paredzot, ka atbrīvojumu piemēro dabasgāzei, kura tiek izmantota dabasgāzes pārvades, uzglabāšanas un dabasgāzes sadales sistēmā dabasgāzes pārvades, uzglabāšanas vai sadales sistēmas tehnoloģisko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tiek konstatēta galalietotāja neatbilstība valsts atbalsta saņemšanas nosacījumiem, atbalsta piešķiršana ar Lauku atbalsta dienesta pieņemto lēmumu ir jāpārtrauc ar pirmo datumu mēnesī, kurā tiek  konstatēta neatbilstība. Līdz ar to noteikumu projekts paredz precizēt MK noteikumu Nr.199 70.</w:t>
      </w:r>
      <w:r w:rsidR="00000000" w:rsidRPr="00000000" w:rsidDel="00000000">
        <w:rPr>
          <w:vertAlign w:val="superscript"/>
          <w:rtl w:val="0"/>
        </w:rPr>
        <w:t xml:space="preserve">10</w:t>
      </w:r>
      <w:r w:rsidR="00000000" w:rsidRPr="00000000" w:rsidDel="00000000">
        <w:rPr>
          <w:rtl w:val="0"/>
        </w:rPr>
        <w:t xml:space="preserve"> punktu par to, no kura brīža tiek atcelta atbalsta piešķiršana. Lai nodrošinātu Administratīvā procesa likumā noteiktā regulējuma piemērošanu, redakcionāli tiek precizēts arī 70.</w:t>
      </w:r>
      <w:r w:rsidR="00000000" w:rsidRPr="00000000" w:rsidDel="00000000">
        <w:rPr>
          <w:vertAlign w:val="superscript"/>
          <w:rtl w:val="0"/>
        </w:rPr>
        <w:t xml:space="preserve">7</w:t>
      </w:r>
      <w:r w:rsidR="00000000" w:rsidRPr="00000000" w:rsidDel="00000000">
        <w:rPr>
          <w:rtl w:val="0"/>
        </w:rPr>
        <w:t xml:space="preserve"> 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Lauku atbalsta dienesta lēmums par atbalsta piešķiršanu ir pieņemts un piemērojams datumā, kas nav kalendārā mēneša sākuma datums, lai dabasgāzes tirgotājs varētu galalietotājam izrakstīt rēķinu par taksācijas periodā piegādāto dabasgāzi sadalījumā pa dabasgāzes izmantošanas mērķiem, noteikumu projekts paredz noteikt dabasgāzes galalietotājam pienākumu gadījumā, kad saņemts Lauku atbalsta dienesta lēmums par atbalsta piešķiršanu, fiksēt dabasgāzes un siltuma skaitītāju rādījumus un to paziņot dabasgāzes tirgotājam vai industriālā parka pārvaldniekam (dabasgāzes lietotājam šo noteikumu izpratnē) par dabasgāzes apjomu, kas izlietots pirms atbalsta piešķiršanas. Līdz ar to ir precizēta MK noteikumu Nr.199 70.</w:t>
      </w:r>
      <w:r w:rsidR="00000000" w:rsidRPr="00000000" w:rsidDel="00000000">
        <w:rPr>
          <w:vertAlign w:val="superscript"/>
          <w:rtl w:val="0"/>
        </w:rPr>
        <w:t xml:space="preserve">14</w:t>
      </w:r>
      <w:r w:rsidR="00000000" w:rsidRPr="00000000" w:rsidDel="00000000">
        <w:rPr>
          <w:rtl w:val="0"/>
        </w:rPr>
        <w:t xml:space="preserve">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atbalsta saņemšanas nosacījumu izvērtēšana nav jāattiecina uz industriālā parka pārvaldnieku, kas nodod dabasgāzi uzņēmumiem, kas ir faktiskie galalietotāji, kuri pēc būtības arī būtu jāizvērtē Lauku atbalsta dienestam. Lai būtu skaidri saprotams, uz kuriem galalietotājiem ir jāattiecina šo noteikumu IV</w:t>
      </w:r>
      <w:r w:rsidR="00000000" w:rsidRPr="00000000" w:rsidDel="00000000">
        <w:rPr>
          <w:vertAlign w:val="superscript"/>
          <w:rtl w:val="0"/>
        </w:rPr>
        <w:t xml:space="preserve">1</w:t>
      </w:r>
      <w:r w:rsidR="00000000" w:rsidRPr="00000000" w:rsidDel="00000000">
        <w:rPr>
          <w:rtl w:val="0"/>
        </w:rPr>
        <w:t xml:space="preserve"> sadaļa un kuri būtu jāizvērtē Lauku atbalsta dienestam, ir precizēts MK noteikumu Nr.199 2.1. apakšpunkts, kā arī papildināts ar 2.7. apakšpunktu, kas šo noteikumu izpratnē definē dabasgāzes galalietotāju un dabasgāzes lietotāju. Atbilstoši grozījumiem 2.punktā ir nepieciešams precizēt arī MK noteikumu Nr.199 63. punktu. Papildus tiek precizētā arī MK noteikumu Nr. 199 70.</w:t>
      </w:r>
      <w:r w:rsidR="00000000" w:rsidRPr="00000000" w:rsidDel="00000000">
        <w:rPr>
          <w:vertAlign w:val="superscript"/>
          <w:rtl w:val="0"/>
        </w:rPr>
        <w:t xml:space="preserve">6</w:t>
      </w:r>
      <w:r w:rsidR="00000000" w:rsidRPr="00000000" w:rsidDel="00000000">
        <w:rPr>
          <w:rtl w:val="0"/>
        </w:rPr>
        <w:t xml:space="preserve"> punkta redakcija gadījumā, ja galalietotājs atrodas industriālā parka teritorijā, tam šo noteikumu 5.pielikumam ir jāpievieno arī līgums par dabasgāzes piegādes nodrošināšanu ar industriālā parka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ka dabasgāzes tehnoloģisko iekārtu atrašanās vieta ir apstiprināta noliktavas turētāja darbībām ar dabasgāzi faktiskā saimnieciskās darbības veikšanas vieta, nepieciešams speciālajā atļaujā (licencē) apstiprināta noliktavas turētāja darbībām ar dabasgāzi norādīt arī informāciju par apstiprināta noliktavas turētāja darbībām ar dabasgāzi valdījumā esošo dabasgāzes tehnoloģisko iekārtu atrašanās vietu. Tādējādi ir jāprecizē MK noteikumu Nr. 199 1. pielikums. Tā kā noteikumu projekts komersantiem, kuriem izsniegta speciālā atļauja (licence) (turpmāk – licence) apstiprināta noliktavas turētāja darbībām ar dabasgāzi, paredz licencē norādīt informāciju par komersanta valdījumā esošo dabasgāzes tehnoloģisko iekārtu atrašanās vietām, noteikumi papildināti ar 85.</w:t>
      </w:r>
      <w:r w:rsidR="00000000" w:rsidRPr="00000000" w:rsidDel="00000000">
        <w:rPr>
          <w:vertAlign w:val="superscript"/>
          <w:rtl w:val="0"/>
        </w:rPr>
        <w:t xml:space="preserve">3</w:t>
      </w:r>
      <w:r w:rsidR="00000000" w:rsidRPr="00000000" w:rsidDel="00000000">
        <w:rPr>
          <w:rtl w:val="0"/>
        </w:rPr>
        <w:t xml:space="preserve"> punktu, dodot komersantam laiku licences pārreģistrēšanai.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MK noteikumu Nr.199 70.</w:t>
      </w:r>
      <w:r w:rsidR="00000000" w:rsidRPr="00000000" w:rsidDel="00000000">
        <w:rPr>
          <w:vertAlign w:val="superscript"/>
          <w:rtl w:val="0"/>
        </w:rPr>
        <w:t xml:space="preserve">7</w:t>
      </w:r>
      <w:r w:rsidR="00000000" w:rsidRPr="00000000" w:rsidDel="00000000">
        <w:rPr>
          <w:rtl w:val="0"/>
        </w:rPr>
        <w:t xml:space="preserve">4. apakšpunktam Lauku atbalsta dienests pieņemto lēmumu paziņo galalietotājam par tiesībām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3. punktā noteikto nodokļa likmi. Tādējādi galalietotājam, noformējot maksājuma dokumentus dabasgāzes iegādei un piemērojot samazināto akcīzes nodokli, par piešķirtajām tiesībām iespējams informēt savu dabasgāzes piegādātāju.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dabasgāzi no piegādātāja iegādāsies industriālā parka pārvaldnieki, nevis galalietotāji, Lauku atbalsta dienests dabasgāzes piegādātāju informēšanai publicēs mājaslapā industriālos parkus, kuru teritorijā atrodas atbilstošie galalietotāji. Līdz ar to MK noteikumi Nr.199 ir jāpapildina ar 70.</w:t>
      </w:r>
      <w:r w:rsidR="00000000" w:rsidRPr="00000000" w:rsidDel="00000000">
        <w:rPr>
          <w:vertAlign w:val="superscript"/>
          <w:rtl w:val="0"/>
        </w:rPr>
        <w:t xml:space="preserve">7</w:t>
      </w:r>
      <w:r w:rsidR="00000000" w:rsidRPr="00000000" w:rsidDel="00000000">
        <w:rPr>
          <w:rtl w:val="0"/>
        </w:rPr>
        <w:t xml:space="preserve">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papildu prasības un nav papildu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komersantiem, kas dabasgāzi piegādā galalietotājiem, kuri dabasgāzi izmanto saskaņā ar likuma 15.</w:t>
      </w:r>
      <w:r w:rsidR="00000000" w:rsidRPr="00000000" w:rsidDel="00000000">
        <w:rPr>
          <w:vertAlign w:val="superscript"/>
          <w:rtl w:val="0"/>
        </w:rPr>
        <w:t xml:space="preserve">1</w:t>
      </w:r>
      <w:r w:rsidR="00000000" w:rsidRPr="00000000" w:rsidDel="00000000">
        <w:rPr>
          <w:rtl w:val="0"/>
        </w:rPr>
        <w:t xml:space="preserve"> panta pirmās daļas 3. punktā noteiktajiem mērķiem, un galalietotājiem, kas atrodas industriālā parka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Apstrādes rūpniecība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 komersantus, kuri dabasgāzi piegādā galalietotājiem, kuri dabasgāzi izmanto saskaņā ar likuma 15.</w:t>
      </w:r>
      <w:r w:rsidR="00000000" w:rsidRPr="00000000" w:rsidDel="00000000">
        <w:rPr>
          <w:vertAlign w:val="superscript"/>
          <w:rtl w:val="0"/>
        </w:rPr>
        <w:t xml:space="preserve">1</w:t>
      </w:r>
      <w:r w:rsidR="00000000" w:rsidRPr="00000000" w:rsidDel="00000000">
        <w:rPr>
          <w:rtl w:val="0"/>
        </w:rPr>
        <w:t xml:space="preserve"> panta pirmās daļas 3. punktā noteiktajiem mērķiem, kā arī galalietotājus, kas atrodas industriālā parka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izmaiņu veikšanai Valsts ieņēmumu dienesta informācijas sistēmās 2022.gadā no Finanšu ministrijas budžeta programmas 33.00.00 “Valsts ieņēmumu un muitas politikas nodrošināšana” ir nepieciešams finansējums 981 EUR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19"/>
              <w:gridCol w:w="1965"/>
              <w:gridCol w:w="1900"/>
              <w:gridCol w:w="1763"/>
              <w:tblGridChange w:id="0">
                <w:tblGrid>
                  <w:gridCol w:w="2019"/>
                  <w:gridCol w:w="1965"/>
                  <w:gridCol w:w="1900"/>
                  <w:gridCol w:w="176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cilvēkdienās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c/d cena,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deklarēšanās sistēma (EDS)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980,10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nepieciešamo izmaiņu veikšanai Valsts ieņēmumu dienesta informācijas sistēmās nepieciešamais finansējums tiks nodrošināts Finanšu ministrijas budžeta programmas 33.00.00 “Valsts ieņēmumu un muitas politikas nodrošināšana” piešķirtā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Uzziņa par noteikumu projektu ir publicēta Finanšu ministrijas tīmekļa vietnē 2021. gada 19.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https://www.fm.gov.lv/lv/mk-noteikumu-projekts-grozijumi-ministru-kabineta-2017gada-4aprila-noteikumos-nr199-noteikumi-par-dabasgazes-apriti-un-akcizes-nodokla-piemerosanas-kartibu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izsludināšanas TAP portālā  sabiedrības pārstāvju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viedokļi par noteikumu projektu pēc izsludināšanai TAP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paredzēta esošo funkciju un cilvēkresursu ietvaros. Noteikumu projekta izpildei nav nepieciešama jaunu institūciju izveide, esošo institūciju likvidācija vai reorganizācija.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21-TA-757</w:t>
    </w:r>
    <w:r>
      <w:br/>
    </w:r>
    <w:r w:rsidR="00000000" w:rsidRPr="00000000" w:rsidDel="00000000">
      <w:rPr>
        <w:rtl w:val="0"/>
      </w:rPr>
      <w:t xml:space="preserve">Izdrukāts 29.07.2026. 22.09 - 4.0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21-TA-757</w:t>
    </w:r>
    <w:r>
      <w:br/>
    </w:r>
    <w:r w:rsidR="00000000" w:rsidRPr="00000000" w:rsidDel="00000000">
      <w:rPr>
        <w:rtl w:val="0"/>
      </w:rPr>
      <w:t xml:space="preserve">Izdrukāts 29.07.2026. 22.09 - 4.0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anotācija_(ex_ante)_21-TA-757.docx</dc:title>
</cp:coreProperties>
</file>

<file path=docProps/custom.xml><?xml version="1.0" encoding="utf-8"?>
<Properties xmlns="http://schemas.openxmlformats.org/officeDocument/2006/custom-properties" xmlns:vt="http://schemas.openxmlformats.org/officeDocument/2006/docPropsVTypes"/>
</file>