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6B17A" w14:textId="72C35BD1" w:rsidR="00B25F48" w:rsidRPr="00C04A70" w:rsidRDefault="00B25F48" w:rsidP="00C04A70">
      <w:pPr>
        <w:spacing w:line="276" w:lineRule="auto"/>
        <w:ind w:firstLine="720"/>
        <w:jc w:val="right"/>
      </w:pPr>
      <w:bookmarkStart w:id="0" w:name="_Hlk164706777"/>
      <w:bookmarkEnd w:id="0"/>
      <w:r w:rsidRPr="00C04A70">
        <w:t>Pielikums anotācijai</w:t>
      </w:r>
    </w:p>
    <w:p w14:paraId="20E8C0EE" w14:textId="77777777" w:rsidR="008B5E84" w:rsidRDefault="008B5E84" w:rsidP="008B5E84">
      <w:pPr>
        <w:spacing w:after="0"/>
        <w:rPr>
          <w:rFonts w:cs="Times New Roman"/>
          <w:szCs w:val="24"/>
        </w:rPr>
      </w:pPr>
    </w:p>
    <w:p w14:paraId="395BE8BD" w14:textId="03F9CAE1" w:rsidR="007C7EDC" w:rsidRDefault="007C7EDC" w:rsidP="001859A0">
      <w:pPr>
        <w:spacing w:after="0" w:line="276" w:lineRule="auto"/>
        <w:rPr>
          <w:rFonts w:cs="Times New Roman"/>
          <w:szCs w:val="24"/>
        </w:rPr>
      </w:pPr>
      <w:r>
        <w:rPr>
          <w:rFonts w:cs="Times New Roman"/>
          <w:szCs w:val="24"/>
        </w:rPr>
        <w:t xml:space="preserve">Kopsavilkums par grozījumu projekta ietekmi pēc kadastra un </w:t>
      </w:r>
      <w:r w:rsidRPr="007C7EDC">
        <w:rPr>
          <w:rFonts w:cs="Times New Roman"/>
          <w:szCs w:val="24"/>
        </w:rPr>
        <w:t>Teritorijas attīstības plānošanas informācijas sistēm</w:t>
      </w:r>
      <w:r>
        <w:rPr>
          <w:rFonts w:cs="Times New Roman"/>
          <w:szCs w:val="24"/>
        </w:rPr>
        <w:t>as</w:t>
      </w:r>
      <w:r w:rsidRPr="007C7EDC">
        <w:rPr>
          <w:rFonts w:cs="Times New Roman"/>
          <w:szCs w:val="24"/>
        </w:rPr>
        <w:t xml:space="preserve"> (TAPIS) </w:t>
      </w:r>
      <w:r>
        <w:rPr>
          <w:rFonts w:cs="Times New Roman"/>
          <w:szCs w:val="24"/>
        </w:rPr>
        <w:t>datu savietošanas:</w:t>
      </w:r>
    </w:p>
    <w:p w14:paraId="0D6ACE14" w14:textId="2B5E2C43" w:rsidR="007C7EDC" w:rsidRDefault="007C7EDC" w:rsidP="001859A0">
      <w:pPr>
        <w:pStyle w:val="Sarakstarindkopa"/>
        <w:numPr>
          <w:ilvl w:val="0"/>
          <w:numId w:val="3"/>
        </w:numPr>
        <w:spacing w:line="276"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TAPIS pārklājums pieejams 55% zemes  vienību;</w:t>
      </w:r>
    </w:p>
    <w:p w14:paraId="3FDCAD8B" w14:textId="2A878037" w:rsidR="007C7EDC" w:rsidRPr="00C8666D" w:rsidRDefault="007C7EDC" w:rsidP="001859A0">
      <w:pPr>
        <w:pStyle w:val="Sarakstarindkopa"/>
        <w:numPr>
          <w:ilvl w:val="0"/>
          <w:numId w:val="3"/>
        </w:numPr>
        <w:spacing w:line="276"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 298 tūkstoši neapbūvētu zemes vienību, no tām 89 tūkstoši </w:t>
      </w:r>
      <w:r w:rsidRPr="00C8666D">
        <w:rPr>
          <w:rFonts w:ascii="Times New Roman" w:eastAsia="Times New Roman" w:hAnsi="Times New Roman" w:cs="Times New Roman"/>
          <w:sz w:val="24"/>
          <w:szCs w:val="24"/>
        </w:rPr>
        <w:t>neapbūvētas apbūves zemes</w:t>
      </w:r>
      <w:r w:rsidRPr="00C8666D">
        <w:rPr>
          <w:rFonts w:ascii="Times New Roman" w:eastAsia="Times New Roman" w:hAnsi="Times New Roman" w:cs="Times New Roman"/>
          <w:sz w:val="24"/>
          <w:szCs w:val="24"/>
          <w:u w:val="single"/>
        </w:rPr>
        <w:t>;</w:t>
      </w:r>
    </w:p>
    <w:p w14:paraId="0FFA83AB" w14:textId="141AA7FB" w:rsidR="007C7EDC" w:rsidRDefault="007C7EDC" w:rsidP="001859A0">
      <w:pPr>
        <w:pStyle w:val="Sarakstarindkopa"/>
        <w:numPr>
          <w:ilvl w:val="0"/>
          <w:numId w:val="3"/>
        </w:numPr>
        <w:spacing w:line="276" w:lineRule="auto"/>
        <w:ind w:left="714"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Ir 80 tūkstoši  (27% no kopējā neapbūvēto zemju skaita) neapbūvētas apbūves zemes vienības, kurām </w:t>
      </w:r>
      <w:r w:rsidR="008B5E84">
        <w:rPr>
          <w:rFonts w:ascii="Times New Roman" w:eastAsia="Times New Roman" w:hAnsi="Times New Roman" w:cs="Times New Roman"/>
          <w:sz w:val="24"/>
          <w:szCs w:val="24"/>
        </w:rPr>
        <w:t>lietošanas mērķis</w:t>
      </w:r>
      <w:r>
        <w:rPr>
          <w:rFonts w:ascii="Times New Roman" w:eastAsia="Times New Roman" w:hAnsi="Times New Roman" w:cs="Times New Roman"/>
          <w:sz w:val="24"/>
          <w:szCs w:val="24"/>
        </w:rPr>
        <w:t xml:space="preserve"> ne</w:t>
      </w:r>
      <w:r w:rsidR="008B5E84">
        <w:rPr>
          <w:rFonts w:ascii="Times New Roman" w:eastAsia="Times New Roman" w:hAnsi="Times New Roman" w:cs="Times New Roman"/>
          <w:sz w:val="24"/>
          <w:szCs w:val="24"/>
        </w:rPr>
        <w:t xml:space="preserve">sakrīt ar </w:t>
      </w:r>
      <w:r>
        <w:rPr>
          <w:rFonts w:ascii="Times New Roman" w:eastAsia="Times New Roman" w:hAnsi="Times New Roman" w:cs="Times New Roman"/>
          <w:sz w:val="24"/>
          <w:szCs w:val="24"/>
        </w:rPr>
        <w:t>funkcionāl</w:t>
      </w:r>
      <w:r w:rsidR="008B5E84">
        <w:rPr>
          <w:rFonts w:ascii="Times New Roman" w:eastAsia="Times New Roman" w:hAnsi="Times New Roman" w:cs="Times New Roman"/>
          <w:sz w:val="24"/>
          <w:szCs w:val="24"/>
        </w:rPr>
        <w:t>ās</w:t>
      </w:r>
      <w:r>
        <w:rPr>
          <w:rFonts w:ascii="Times New Roman" w:eastAsia="Times New Roman" w:hAnsi="Times New Roman" w:cs="Times New Roman"/>
          <w:sz w:val="24"/>
          <w:szCs w:val="24"/>
        </w:rPr>
        <w:t xml:space="preserve"> zonas galven</w:t>
      </w:r>
      <w:r w:rsidR="008B5E84">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izmantošan</w:t>
      </w:r>
      <w:r w:rsidR="008B5E84">
        <w:rPr>
          <w:rFonts w:ascii="Times New Roman" w:eastAsia="Times New Roman" w:hAnsi="Times New Roman" w:cs="Times New Roman"/>
          <w:sz w:val="24"/>
          <w:szCs w:val="24"/>
        </w:rPr>
        <w:t>u</w:t>
      </w:r>
      <w:r>
        <w:rPr>
          <w:rFonts w:ascii="Times New Roman" w:eastAsia="Times New Roman" w:hAnsi="Times New Roman" w:cs="Times New Roman"/>
          <w:sz w:val="24"/>
          <w:szCs w:val="24"/>
        </w:rPr>
        <w:t>;</w:t>
      </w:r>
    </w:p>
    <w:p w14:paraId="1899E641" w14:textId="22461D6B" w:rsidR="007C7EDC" w:rsidRDefault="007C7EDC" w:rsidP="001859A0">
      <w:pPr>
        <w:pStyle w:val="Sarakstarindkopa"/>
        <w:numPr>
          <w:ilvl w:val="0"/>
          <w:numId w:val="3"/>
        </w:numPr>
        <w:spacing w:line="276" w:lineRule="auto"/>
        <w:ind w:left="714" w:hanging="357"/>
        <w:jc w:val="both"/>
        <w:rPr>
          <w:rFonts w:ascii="Times New Roman" w:eastAsia="Times New Roman" w:hAnsi="Times New Roman" w:cs="Times New Roman"/>
          <w:sz w:val="24"/>
          <w:szCs w:val="24"/>
        </w:rPr>
      </w:pPr>
      <w:r w:rsidRPr="008B5E84">
        <w:rPr>
          <w:rFonts w:ascii="Times New Roman" w:eastAsia="Times New Roman" w:hAnsi="Times New Roman" w:cs="Times New Roman"/>
          <w:sz w:val="24"/>
          <w:szCs w:val="24"/>
        </w:rPr>
        <w:t xml:space="preserve">Ir 18 tūkstoši </w:t>
      </w:r>
      <w:r w:rsidR="008B5E84" w:rsidRPr="008B5E84">
        <w:rPr>
          <w:rFonts w:ascii="Times New Roman" w:eastAsia="Times New Roman" w:hAnsi="Times New Roman" w:cs="Times New Roman"/>
          <w:sz w:val="24"/>
          <w:szCs w:val="24"/>
        </w:rPr>
        <w:t>zemes vienību, kurām</w:t>
      </w:r>
      <w:r w:rsidR="008B5E84">
        <w:rPr>
          <w:rFonts w:ascii="Times New Roman" w:eastAsia="Times New Roman" w:hAnsi="Times New Roman" w:cs="Times New Roman"/>
          <w:sz w:val="24"/>
          <w:szCs w:val="24"/>
          <w:u w:val="single"/>
        </w:rPr>
        <w:t xml:space="preserve"> </w:t>
      </w:r>
      <w:r w:rsidR="008B5E84">
        <w:rPr>
          <w:rFonts w:ascii="Times New Roman" w:eastAsia="Times New Roman" w:hAnsi="Times New Roman" w:cs="Times New Roman"/>
          <w:sz w:val="24"/>
          <w:szCs w:val="24"/>
        </w:rPr>
        <w:t>lietošanas mērķis</w:t>
      </w:r>
      <w:r>
        <w:rPr>
          <w:rFonts w:ascii="Times New Roman" w:eastAsia="Times New Roman" w:hAnsi="Times New Roman" w:cs="Times New Roman"/>
          <w:sz w:val="24"/>
          <w:szCs w:val="24"/>
        </w:rPr>
        <w:t xml:space="preserve"> nesakrīt </w:t>
      </w:r>
      <w:r w:rsidR="008B5E84">
        <w:rPr>
          <w:rFonts w:ascii="Times New Roman" w:eastAsia="Times New Roman" w:hAnsi="Times New Roman" w:cs="Times New Roman"/>
          <w:sz w:val="24"/>
          <w:szCs w:val="24"/>
        </w:rPr>
        <w:t xml:space="preserve">ar apbūves </w:t>
      </w:r>
      <w:r>
        <w:rPr>
          <w:rFonts w:ascii="Times New Roman" w:eastAsia="Times New Roman" w:hAnsi="Times New Roman" w:cs="Times New Roman"/>
          <w:sz w:val="24"/>
          <w:szCs w:val="24"/>
        </w:rPr>
        <w:t>funkcionālās zon</w:t>
      </w:r>
      <w:r w:rsidR="008B5E84">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izmantošanu</w:t>
      </w:r>
      <w:r w:rsidR="001859A0">
        <w:rPr>
          <w:rFonts w:ascii="Times New Roman" w:eastAsia="Times New Roman" w:hAnsi="Times New Roman" w:cs="Times New Roman"/>
          <w:sz w:val="24"/>
          <w:szCs w:val="24"/>
        </w:rPr>
        <w:t xml:space="preserve">. No tām 13 tūkstoši var pāriet uz apbūves zemi, jo iepriekš noteikts lauku grupas (lauksaimniecība, mežsaimniecība, ūdenssaimniecība, dabas pamatne) lietošanas mērķis. </w:t>
      </w:r>
    </w:p>
    <w:p w14:paraId="3BEB63F8" w14:textId="77777777" w:rsidR="007C7EDC" w:rsidRDefault="007C7EDC" w:rsidP="00A34C78">
      <w:pPr>
        <w:rPr>
          <w:b/>
          <w:bCs/>
        </w:rPr>
      </w:pPr>
    </w:p>
    <w:p w14:paraId="4BA65690" w14:textId="6E4DDB85" w:rsidR="00B25F48" w:rsidRPr="00600A9A" w:rsidRDefault="00B25F48" w:rsidP="00A34C78">
      <w:pPr>
        <w:rPr>
          <w:b/>
          <w:bCs/>
        </w:rPr>
      </w:pPr>
      <w:r w:rsidRPr="00600A9A">
        <w:rPr>
          <w:b/>
          <w:bCs/>
        </w:rPr>
        <w:t xml:space="preserve">Kadastra IS </w:t>
      </w:r>
      <w:r w:rsidR="00A55ABB" w:rsidRPr="00600A9A">
        <w:rPr>
          <w:b/>
          <w:bCs/>
        </w:rPr>
        <w:t>un Teritorijas plānojuma datu statistika</w:t>
      </w:r>
    </w:p>
    <w:p w14:paraId="18BA23F3" w14:textId="491EF57E" w:rsidR="002D7114" w:rsidRPr="00600A9A" w:rsidRDefault="00E36593" w:rsidP="00600A9A">
      <w:pPr>
        <w:spacing w:after="0" w:line="240" w:lineRule="auto"/>
        <w:ind w:firstLine="720"/>
      </w:pPr>
      <w:r>
        <w:t xml:space="preserve">Kadastra reģistrā pa valsti kopā </w:t>
      </w:r>
      <w:r w:rsidR="00A34C78">
        <w:t xml:space="preserve">ir </w:t>
      </w:r>
      <w:r>
        <w:t xml:space="preserve">reģistrētas 1 042 668 zemes vienības, </w:t>
      </w:r>
      <w:r w:rsidR="00105A75">
        <w:t xml:space="preserve">kā redzams </w:t>
      </w:r>
      <w:r w:rsidR="00105A75" w:rsidRPr="00F56D22">
        <w:t>1.attēlā</w:t>
      </w:r>
      <w:r w:rsidR="00105A75">
        <w:t xml:space="preserve"> </w:t>
      </w:r>
      <w:r>
        <w:t xml:space="preserve">no tām 577 432 ( 55% ) zemes vienībām </w:t>
      </w:r>
      <w:bookmarkStart w:id="1" w:name="_Hlk166836297"/>
      <w:r>
        <w:t xml:space="preserve">Teritorijas attīstības plānošanas informācijas sistēmā (TAPIS) ir </w:t>
      </w:r>
      <w:bookmarkEnd w:id="1"/>
      <w:r>
        <w:t>pieejami teritorijas plānojum</w:t>
      </w:r>
      <w:r w:rsidR="00A34C78">
        <w:t xml:space="preserve">a </w:t>
      </w:r>
      <w:proofErr w:type="spellStart"/>
      <w:r w:rsidR="00A34C78">
        <w:t>vektordatu</w:t>
      </w:r>
      <w:proofErr w:type="spellEnd"/>
      <w:r w:rsidR="00A34C78">
        <w:t xml:space="preserve"> formātā</w:t>
      </w:r>
      <w:r>
        <w:t>, bet 465 236 (45%) zemes vienībām tas nav pieejams.</w:t>
      </w:r>
      <w:r w:rsidRPr="00E259A3">
        <w:t xml:space="preserve"> </w:t>
      </w:r>
      <w:r w:rsidR="002D7114" w:rsidRPr="002D7114">
        <w:t>Pilns pārklājums TAPIS ir tikai 8 novados</w:t>
      </w:r>
      <w:r w:rsidR="00355BB2">
        <w:t xml:space="preserve"> (</w:t>
      </w:r>
      <w:r w:rsidR="00355BB2" w:rsidRPr="00355BB2">
        <w:t>Alūksnes, Valkas, Rēzeknes, Ropažu, Olaines, Ventspils</w:t>
      </w:r>
      <w:r w:rsidR="00355BB2">
        <w:t>,</w:t>
      </w:r>
      <w:r w:rsidR="00355BB2" w:rsidRPr="00355BB2">
        <w:t> Ādažu , Gulbenes</w:t>
      </w:r>
      <w:r w:rsidR="00355BB2">
        <w:t>)</w:t>
      </w:r>
      <w:r w:rsidR="002D7114" w:rsidRPr="002D7114">
        <w:t xml:space="preserve"> un </w:t>
      </w:r>
      <w:r w:rsidR="00355BB2">
        <w:t>7</w:t>
      </w:r>
      <w:r w:rsidR="002D7114" w:rsidRPr="002D7114">
        <w:t xml:space="preserve"> </w:t>
      </w:r>
      <w:proofErr w:type="spellStart"/>
      <w:r w:rsidR="002D7114" w:rsidRPr="002D7114">
        <w:t>valstspilsētās</w:t>
      </w:r>
      <w:proofErr w:type="spellEnd"/>
      <w:r w:rsidR="00355BB2">
        <w:t xml:space="preserve"> (</w:t>
      </w:r>
      <w:r w:rsidR="00355BB2" w:rsidRPr="00355BB2">
        <w:t>Jūrmala, Rīga, Jelgava, Valmiera, Jēkabpils, Daugavpils, Rēzekne</w:t>
      </w:r>
      <w:r w:rsidR="00355BB2">
        <w:t>).</w:t>
      </w:r>
    </w:p>
    <w:p w14:paraId="09966EA8" w14:textId="62386632" w:rsidR="00E36593" w:rsidRDefault="00E36593" w:rsidP="00E36593">
      <w:pPr>
        <w:spacing w:line="276" w:lineRule="auto"/>
        <w:jc w:val="center"/>
      </w:pPr>
      <w:r w:rsidRPr="00A434D0">
        <w:rPr>
          <w:noProof/>
        </w:rPr>
        <w:drawing>
          <wp:inline distT="0" distB="0" distL="0" distR="0" wp14:anchorId="2E52A4CE" wp14:editId="687D2B49">
            <wp:extent cx="2611582" cy="1863436"/>
            <wp:effectExtent l="0" t="0" r="17780" b="3810"/>
            <wp:docPr id="1" name="Diagramma 1">
              <a:extLst xmlns:a="http://schemas.openxmlformats.org/drawingml/2006/main">
                <a:ext uri="{FF2B5EF4-FFF2-40B4-BE49-F238E27FC236}">
                  <a16:creationId xmlns:a16="http://schemas.microsoft.com/office/drawing/2014/main" id="{6511012D-DF6B-4825-850C-D7CCD1756C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28B56DCC" w14:textId="11471E08" w:rsidR="00105A75" w:rsidRDefault="00105A75" w:rsidP="00E36593">
      <w:pPr>
        <w:spacing w:line="276" w:lineRule="auto"/>
        <w:jc w:val="center"/>
      </w:pPr>
      <w:r>
        <w:t>1.attēls</w:t>
      </w:r>
    </w:p>
    <w:p w14:paraId="6B1FD41B" w14:textId="13FF587B" w:rsidR="00E36593" w:rsidRPr="00600A9A" w:rsidRDefault="00E36593" w:rsidP="00600A9A">
      <w:pPr>
        <w:spacing w:after="0" w:line="240" w:lineRule="auto"/>
        <w:ind w:firstLine="720"/>
      </w:pPr>
      <w:r>
        <w:t>No zemes vienībām, kurām ir pieejams teritorijas plānojums TAPIS, 298</w:t>
      </w:r>
      <w:r w:rsidR="00C04A70">
        <w:t> </w:t>
      </w:r>
      <w:r>
        <w:t>012</w:t>
      </w:r>
      <w:r w:rsidR="00C04A70">
        <w:t xml:space="preserve"> </w:t>
      </w:r>
      <w:r>
        <w:t>(52%) ir neapbūvētas un 279 420 (48%) ir apbūvētas</w:t>
      </w:r>
      <w:r w:rsidR="007D537C">
        <w:t xml:space="preserve"> (2.attēls)</w:t>
      </w:r>
      <w:r>
        <w:t xml:space="preserve">. </w:t>
      </w:r>
    </w:p>
    <w:p w14:paraId="3F190F0A" w14:textId="1AA96894" w:rsidR="00E36593" w:rsidRDefault="00E36593" w:rsidP="00E36593">
      <w:pPr>
        <w:spacing w:line="276" w:lineRule="auto"/>
        <w:jc w:val="center"/>
      </w:pPr>
      <w:r w:rsidRPr="00A434D0">
        <w:rPr>
          <w:noProof/>
        </w:rPr>
        <w:drawing>
          <wp:inline distT="0" distB="0" distL="0" distR="0" wp14:anchorId="346C44BD" wp14:editId="1A857605">
            <wp:extent cx="2653146" cy="1870364"/>
            <wp:effectExtent l="0" t="0" r="13970" b="15875"/>
            <wp:docPr id="3" name="Diagramma 3">
              <a:extLst xmlns:a="http://schemas.openxmlformats.org/drawingml/2006/main">
                <a:ext uri="{FF2B5EF4-FFF2-40B4-BE49-F238E27FC236}">
                  <a16:creationId xmlns:a16="http://schemas.microsoft.com/office/drawing/2014/main" id="{E01FB56B-77EC-4156-88AA-62C87C04AD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701DA68B" w14:textId="5925B401" w:rsidR="0099363E" w:rsidRDefault="0099363E" w:rsidP="00E36593">
      <w:pPr>
        <w:spacing w:line="276" w:lineRule="auto"/>
        <w:jc w:val="center"/>
      </w:pPr>
      <w:r>
        <w:lastRenderedPageBreak/>
        <w:t>2.attēls</w:t>
      </w:r>
    </w:p>
    <w:p w14:paraId="3F62B698" w14:textId="725E5A06" w:rsidR="00E36593" w:rsidRDefault="00E36593" w:rsidP="00600A9A">
      <w:pPr>
        <w:spacing w:after="0" w:line="240" w:lineRule="auto"/>
        <w:ind w:firstLine="720"/>
      </w:pPr>
      <w:r>
        <w:t>No neapbūvētām zemes vienībām 89 103 (30%) ir noteikti apbūves zemes lietošanas mērķi, bet 208 909 (70%) ir noteikti nekustamā īpašuma lietošanas mērķi, kur apbūve nav primārā zemes izmantošana</w:t>
      </w:r>
      <w:r w:rsidR="007D537C">
        <w:t xml:space="preserve"> (3.attēls)</w:t>
      </w:r>
      <w:r>
        <w:t>.</w:t>
      </w:r>
    </w:p>
    <w:p w14:paraId="4903B564" w14:textId="167760AF" w:rsidR="00E36593" w:rsidRDefault="00E36593" w:rsidP="00E36593">
      <w:pPr>
        <w:spacing w:line="276" w:lineRule="auto"/>
        <w:jc w:val="center"/>
      </w:pPr>
      <w:r w:rsidRPr="000B7D77">
        <w:rPr>
          <w:noProof/>
        </w:rPr>
        <w:drawing>
          <wp:inline distT="0" distB="0" distL="0" distR="0" wp14:anchorId="65CD22F5" wp14:editId="55C76675">
            <wp:extent cx="3560618" cy="1960419"/>
            <wp:effectExtent l="0" t="0" r="1905" b="1905"/>
            <wp:docPr id="4" name="Diagramma 4">
              <a:extLst xmlns:a="http://schemas.openxmlformats.org/drawingml/2006/main">
                <a:ext uri="{FF2B5EF4-FFF2-40B4-BE49-F238E27FC236}">
                  <a16:creationId xmlns:a16="http://schemas.microsoft.com/office/drawing/2014/main" id="{21615E11-D288-486A-B32A-86FA1232B5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96C2266" w14:textId="0717488A" w:rsidR="00122AC4" w:rsidRDefault="0099363E" w:rsidP="0099363E">
      <w:pPr>
        <w:spacing w:line="276" w:lineRule="auto"/>
        <w:jc w:val="center"/>
      </w:pPr>
      <w:r>
        <w:t>3.attēls</w:t>
      </w:r>
    </w:p>
    <w:p w14:paraId="5EECF172" w14:textId="5A32F0EB" w:rsidR="00753B22" w:rsidRDefault="00753B22" w:rsidP="00600A9A">
      <w:pPr>
        <w:spacing w:after="0" w:line="240" w:lineRule="auto"/>
        <w:ind w:firstLine="720"/>
      </w:pPr>
      <w:r w:rsidRPr="00A34C78">
        <w:t>Ministru kabineta noteikumi Nr. 240</w:t>
      </w:r>
      <w:r w:rsidR="00F56D22">
        <w:t xml:space="preserve"> </w:t>
      </w:r>
      <w:r w:rsidRPr="00A34C78">
        <w:t xml:space="preserve">“ Vispārīgie teritorijas plānošanas, izmantošanas un apbūves noteikumi” nosaka, ka izstrādājot teritorijas plānojumus tiek lietoti 12 funkcionālo zonu nosaukumi. Analizējot TAPIS pieejamos spēkā esošos teritorijas plānojumus, konstatēts, ka tiek lietots daudz plašāks nosaukumu iedalījums. </w:t>
      </w:r>
      <w:r w:rsidR="00DF38DD">
        <w:t>Tiek l</w:t>
      </w:r>
      <w:r w:rsidRPr="00A34C78">
        <w:t>ietoti 33 funkcionālo zonu nosaukumi, piemēram Dabas un apstādījumu teritorija - Ūdenstilpju un ūdensteču krastmalu teritorija, Kapsētu teritorija, Lauksaimniecības teritorija ciemā</w:t>
      </w:r>
      <w:r w:rsidR="00DF38DD">
        <w:t xml:space="preserve">, </w:t>
      </w:r>
      <w:r w:rsidRPr="00A34C78">
        <w:t>Savrupmāju apbūves teritorija - savrupmāja meža teritorijā un citi, kas apgrūtina datu analīzi</w:t>
      </w:r>
      <w:r>
        <w:t>.</w:t>
      </w:r>
    </w:p>
    <w:p w14:paraId="3C795BEA" w14:textId="01149404" w:rsidR="008C5529" w:rsidRDefault="006D4E89" w:rsidP="00600A9A">
      <w:pPr>
        <w:spacing w:after="0" w:line="240" w:lineRule="auto"/>
        <w:ind w:firstLine="720"/>
      </w:pPr>
      <w:r>
        <w:t xml:space="preserve">Tika analizēti dati </w:t>
      </w:r>
      <w:r w:rsidRPr="008257CE">
        <w:t>pēc</w:t>
      </w:r>
      <w:r w:rsidR="00355BB2">
        <w:t xml:space="preserve"> platības lielākā</w:t>
      </w:r>
      <w:r>
        <w:t xml:space="preserve"> zemes vienības noteiktā</w:t>
      </w:r>
      <w:r w:rsidR="00882ADC">
        <w:t xml:space="preserve"> nekustamā īpašuma lietošanas mērķa (turpmāk-</w:t>
      </w:r>
      <w:r>
        <w:t>N</w:t>
      </w:r>
      <w:r w:rsidR="00882ADC">
        <w:t>Ī</w:t>
      </w:r>
      <w:r>
        <w:t>LM</w:t>
      </w:r>
      <w:r w:rsidR="00882ADC">
        <w:t>)</w:t>
      </w:r>
      <w:r>
        <w:t xml:space="preserve"> atbilstību </w:t>
      </w:r>
      <w:r w:rsidR="00600A9A">
        <w:t xml:space="preserve">teritorijas plānojuma </w:t>
      </w:r>
      <w:r>
        <w:t>funkcionālās zonas galvenajam izmantošanas veidam.</w:t>
      </w:r>
      <w:r w:rsidR="008C5529">
        <w:t xml:space="preserve"> Kā redzams </w:t>
      </w:r>
      <w:r w:rsidR="002B5BE0" w:rsidRPr="00F56D22">
        <w:t>4</w:t>
      </w:r>
      <w:r w:rsidR="008C5529" w:rsidRPr="00F56D22">
        <w:t>.attēlā</w:t>
      </w:r>
      <w:r w:rsidR="008C5529">
        <w:t xml:space="preserve"> v</w:t>
      </w:r>
      <w:r>
        <w:t>islielākās nesakritīb</w:t>
      </w:r>
      <w:r w:rsidR="008C5529">
        <w:t>as</w:t>
      </w:r>
      <w:r>
        <w:t xml:space="preserve"> ir novērojamas </w:t>
      </w:r>
      <w:r w:rsidRPr="00FA0826">
        <w:t>Rūpnieciskās apbūves teritorijā,</w:t>
      </w:r>
      <w:r w:rsidR="008C5529" w:rsidRPr="00FA0826">
        <w:t xml:space="preserve"> 2</w:t>
      </w:r>
      <w:r w:rsidR="00C3456B" w:rsidRPr="00FA0826">
        <w:t xml:space="preserve"> </w:t>
      </w:r>
      <w:r w:rsidR="008C5529" w:rsidRPr="00FA0826">
        <w:t xml:space="preserve">685 ZV </w:t>
      </w:r>
      <w:r w:rsidR="008852D2" w:rsidRPr="00FA0826">
        <w:t>(</w:t>
      </w:r>
      <w:r w:rsidRPr="00FA0826">
        <w:t>65%</w:t>
      </w:r>
      <w:r w:rsidR="008852D2" w:rsidRPr="00FA0826">
        <w:t>)</w:t>
      </w:r>
      <w:r w:rsidR="008C5529" w:rsidRPr="00FA0826">
        <w:t xml:space="preserve"> </w:t>
      </w:r>
      <w:r w:rsidR="008C5529">
        <w:t>no 4</w:t>
      </w:r>
      <w:r w:rsidR="00C3456B">
        <w:t xml:space="preserve"> </w:t>
      </w:r>
      <w:r w:rsidR="008C5529">
        <w:t>160</w:t>
      </w:r>
      <w:r>
        <w:t xml:space="preserve"> ZV noteiktie N</w:t>
      </w:r>
      <w:r w:rsidR="00882ADC">
        <w:t>Ī</w:t>
      </w:r>
      <w:r>
        <w:t>LM ne</w:t>
      </w:r>
      <w:r w:rsidR="00FA0826">
        <w:t>sakrīt</w:t>
      </w:r>
      <w:r>
        <w:t xml:space="preserve"> funkcionālās zonas galvenās izmantošanas veidam,</w:t>
      </w:r>
      <w:r w:rsidR="008852D2">
        <w:t xml:space="preserve"> Publiskās apbūves teritorijā 980 ZV (51%) no 1</w:t>
      </w:r>
      <w:r w:rsidR="00C3456B">
        <w:t xml:space="preserve"> </w:t>
      </w:r>
      <w:r w:rsidR="008852D2">
        <w:t>913 ZV, Daudzstāvu dzīvojamās apbūves teritorijā 756 (39%) ZV no 1</w:t>
      </w:r>
      <w:r w:rsidR="00C3456B">
        <w:t xml:space="preserve"> </w:t>
      </w:r>
      <w:r w:rsidR="008852D2">
        <w:t>952 ZV.</w:t>
      </w:r>
    </w:p>
    <w:p w14:paraId="23EC265F" w14:textId="37C4CCE4" w:rsidR="008C5529" w:rsidRDefault="00882ADC" w:rsidP="002B5BE0">
      <w:pPr>
        <w:spacing w:line="240" w:lineRule="auto"/>
        <w:jc w:val="center"/>
        <w:rPr>
          <w:noProof/>
        </w:rPr>
      </w:pPr>
      <w:r>
        <w:rPr>
          <w:noProof/>
        </w:rPr>
        <w:drawing>
          <wp:inline distT="0" distB="0" distL="0" distR="0" wp14:anchorId="20AEFCE5" wp14:editId="26E9705D">
            <wp:extent cx="5051425" cy="3626382"/>
            <wp:effectExtent l="19050" t="19050" r="15875" b="12700"/>
            <wp:docPr id="10" name="Attēl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9872" cy="3632446"/>
                    </a:xfrm>
                    <a:prstGeom prst="rect">
                      <a:avLst/>
                    </a:prstGeom>
                    <a:noFill/>
                    <a:ln w="3175">
                      <a:solidFill>
                        <a:schemeClr val="tx1"/>
                      </a:solidFill>
                    </a:ln>
                  </pic:spPr>
                </pic:pic>
              </a:graphicData>
            </a:graphic>
          </wp:inline>
        </w:drawing>
      </w:r>
    </w:p>
    <w:p w14:paraId="5AD07A5D" w14:textId="58919B26" w:rsidR="008C5529" w:rsidRDefault="002B5BE0" w:rsidP="00600A9A">
      <w:pPr>
        <w:spacing w:line="240" w:lineRule="auto"/>
        <w:ind w:firstLine="720"/>
        <w:jc w:val="center"/>
      </w:pPr>
      <w:r>
        <w:rPr>
          <w:noProof/>
        </w:rPr>
        <w:lastRenderedPageBreak/>
        <w:t>4.attēls</w:t>
      </w:r>
    </w:p>
    <w:p w14:paraId="3594FA6B" w14:textId="77777777" w:rsidR="00D03C08" w:rsidRDefault="00D03C08" w:rsidP="00600A9A">
      <w:pPr>
        <w:spacing w:after="0" w:line="240" w:lineRule="auto"/>
        <w:ind w:firstLine="720"/>
      </w:pPr>
    </w:p>
    <w:p w14:paraId="4F7DC12A" w14:textId="77777777" w:rsidR="00D03C08" w:rsidRDefault="00D03C08" w:rsidP="00600A9A">
      <w:pPr>
        <w:spacing w:after="0" w:line="240" w:lineRule="auto"/>
        <w:ind w:firstLine="720"/>
      </w:pPr>
    </w:p>
    <w:p w14:paraId="37CDB5B7" w14:textId="1352D579" w:rsidR="006D4E89" w:rsidRDefault="00600A9A" w:rsidP="00600A9A">
      <w:pPr>
        <w:spacing w:after="0" w:line="240" w:lineRule="auto"/>
        <w:ind w:firstLine="720"/>
      </w:pPr>
      <w:r>
        <w:t xml:space="preserve">Savukārt, </w:t>
      </w:r>
      <w:r w:rsidR="002B5BE0" w:rsidRPr="00F56D22">
        <w:t>5</w:t>
      </w:r>
      <w:r w:rsidR="008852D2" w:rsidRPr="00F56D22">
        <w:t>. attēlā</w:t>
      </w:r>
      <w:r w:rsidR="008852D2">
        <w:t xml:space="preserve"> ir apskatītas </w:t>
      </w:r>
      <w:r>
        <w:t>L</w:t>
      </w:r>
      <w:r w:rsidR="008852D2">
        <w:t xml:space="preserve">auksaimniecības, </w:t>
      </w:r>
      <w:r>
        <w:t>M</w:t>
      </w:r>
      <w:r w:rsidR="008852D2">
        <w:t xml:space="preserve">eža, </w:t>
      </w:r>
      <w:r>
        <w:t>Ū</w:t>
      </w:r>
      <w:r w:rsidR="008852D2">
        <w:t xml:space="preserve">deņu un </w:t>
      </w:r>
      <w:r>
        <w:t>D</w:t>
      </w:r>
      <w:r w:rsidR="008852D2">
        <w:t xml:space="preserve">abas un apstādījumu teritorijas </w:t>
      </w:r>
      <w:r w:rsidR="00882ADC">
        <w:t xml:space="preserve">pēc platības lielākā </w:t>
      </w:r>
      <w:r w:rsidR="008852D2">
        <w:t>N</w:t>
      </w:r>
      <w:r w:rsidR="00882ADC">
        <w:t>Ī</w:t>
      </w:r>
      <w:r w:rsidR="008852D2">
        <w:t>LM</w:t>
      </w:r>
      <w:r w:rsidR="008852D2" w:rsidRPr="008852D2">
        <w:t xml:space="preserve"> </w:t>
      </w:r>
      <w:r w:rsidR="008852D2">
        <w:t>atbilstīb</w:t>
      </w:r>
      <w:r w:rsidR="00882ADC">
        <w:t>a</w:t>
      </w:r>
      <w:r w:rsidR="008852D2">
        <w:t xml:space="preserve"> </w:t>
      </w:r>
      <w:r>
        <w:t xml:space="preserve">teritorijas plānojuma </w:t>
      </w:r>
      <w:r w:rsidR="008852D2">
        <w:t xml:space="preserve">funkcionālās zonas galvenajam izmantošanas veidam. </w:t>
      </w:r>
      <w:r w:rsidR="006D4E89">
        <w:t xml:space="preserve"> </w:t>
      </w:r>
      <w:r w:rsidR="008852D2">
        <w:t>Lauksamniecības teritorijā 9</w:t>
      </w:r>
      <w:r w:rsidR="00C26961">
        <w:t xml:space="preserve"> </w:t>
      </w:r>
      <w:r w:rsidR="008852D2">
        <w:t xml:space="preserve">518 ZV (8%) no 118 086 ZV </w:t>
      </w:r>
      <w:r w:rsidR="00882ADC">
        <w:t xml:space="preserve">pēc platības lielākais </w:t>
      </w:r>
      <w:r w:rsidR="008852D2">
        <w:t>N</w:t>
      </w:r>
      <w:r w:rsidR="00882ADC">
        <w:t>Ī</w:t>
      </w:r>
      <w:r w:rsidR="008852D2">
        <w:t>LM ne</w:t>
      </w:r>
      <w:r w:rsidR="00EE6491">
        <w:t xml:space="preserve">sakrīt </w:t>
      </w:r>
      <w:r>
        <w:t xml:space="preserve">teritorijas plānojuma </w:t>
      </w:r>
      <w:r w:rsidR="008852D2">
        <w:t xml:space="preserve">funkcionālās zonas galvenajam izmantošanas veidam, Meža teritorijā 45 226 (58%) no 77 767 ZV, Ūdeņu teritorijā 1 055  (38%) no 2 750 ZV, </w:t>
      </w:r>
      <w:r w:rsidR="009C3B59">
        <w:t>Dabas un apstādījumu teritorijā 3 309 (40%) no 8 319 ZV.</w:t>
      </w:r>
    </w:p>
    <w:p w14:paraId="08ED688F" w14:textId="77777777" w:rsidR="00D03C08" w:rsidRDefault="00D03C08" w:rsidP="00600A9A">
      <w:pPr>
        <w:spacing w:after="0" w:line="240" w:lineRule="auto"/>
        <w:ind w:firstLine="720"/>
      </w:pPr>
    </w:p>
    <w:p w14:paraId="0A552523" w14:textId="74DCD5C6" w:rsidR="00054CFC" w:rsidRDefault="00882ADC" w:rsidP="00054CFC">
      <w:pPr>
        <w:spacing w:line="276" w:lineRule="auto"/>
        <w:jc w:val="center"/>
      </w:pPr>
      <w:r>
        <w:rPr>
          <w:noProof/>
        </w:rPr>
        <w:drawing>
          <wp:inline distT="0" distB="0" distL="0" distR="0" wp14:anchorId="4C0EB7B7" wp14:editId="3D4204CB">
            <wp:extent cx="4860033" cy="3238631"/>
            <wp:effectExtent l="19050" t="19050" r="17145" b="19050"/>
            <wp:docPr id="11" name="Attēl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5434" cy="3248894"/>
                    </a:xfrm>
                    <a:prstGeom prst="rect">
                      <a:avLst/>
                    </a:prstGeom>
                    <a:noFill/>
                    <a:ln w="3175">
                      <a:solidFill>
                        <a:schemeClr val="tx1"/>
                      </a:solidFill>
                    </a:ln>
                  </pic:spPr>
                </pic:pic>
              </a:graphicData>
            </a:graphic>
          </wp:inline>
        </w:drawing>
      </w:r>
    </w:p>
    <w:p w14:paraId="3D5999C7" w14:textId="24BFEF47" w:rsidR="002B5BE0" w:rsidRDefault="002B5BE0" w:rsidP="00E82A70">
      <w:pPr>
        <w:spacing w:line="276" w:lineRule="auto"/>
        <w:jc w:val="center"/>
      </w:pPr>
      <w:r>
        <w:t>5.attēls</w:t>
      </w:r>
    </w:p>
    <w:p w14:paraId="752DCA71" w14:textId="77777777" w:rsidR="00D03C08" w:rsidRDefault="00D03C08" w:rsidP="00D03C08">
      <w:pPr>
        <w:spacing w:after="0" w:line="240" w:lineRule="auto"/>
        <w:ind w:firstLine="720"/>
      </w:pPr>
    </w:p>
    <w:p w14:paraId="2F4D3520" w14:textId="78DE80CA" w:rsidR="00C26961" w:rsidRDefault="00753B22" w:rsidP="000A5840">
      <w:pPr>
        <w:spacing w:before="120" w:after="0" w:line="240" w:lineRule="auto"/>
        <w:ind w:firstLine="720"/>
      </w:pPr>
      <w:bookmarkStart w:id="2" w:name="_Hlk166658303"/>
      <w:r>
        <w:t>Izvērtējot</w:t>
      </w:r>
      <w:r w:rsidR="009A7F29">
        <w:t xml:space="preserve"> </w:t>
      </w:r>
      <w:r w:rsidR="00790A70">
        <w:t xml:space="preserve">neapbūvētās zemes vienības </w:t>
      </w:r>
      <w:r w:rsidR="00790A70" w:rsidRPr="008257CE">
        <w:t>pēc</w:t>
      </w:r>
      <w:r w:rsidR="00790A70">
        <w:t xml:space="preserve"> platības lielākā noteiktā </w:t>
      </w:r>
      <w:r w:rsidRPr="00E259A3">
        <w:t>N</w:t>
      </w:r>
      <w:r w:rsidR="00882ADC">
        <w:t>Ī</w:t>
      </w:r>
      <w:r w:rsidRPr="00E259A3">
        <w:t xml:space="preserve">LM un </w:t>
      </w:r>
      <w:r>
        <w:t>TAPIS</w:t>
      </w:r>
      <w:r w:rsidRPr="00E259A3">
        <w:t xml:space="preserve"> </w:t>
      </w:r>
      <w:r w:rsidRPr="00E40754">
        <w:t>funkcionālo zonu</w:t>
      </w:r>
      <w:r w:rsidR="00790A70" w:rsidRPr="00790A70">
        <w:t xml:space="preserve"> </w:t>
      </w:r>
      <w:r w:rsidR="00790A70" w:rsidRPr="00E40754">
        <w:t>galveno izmantošanu</w:t>
      </w:r>
      <w:r w:rsidR="00790A70">
        <w:t xml:space="preserve">, neiekļaujot Lauksaimniecības, Mežu, ūdeņu, Dabas un apstādījuma, kā arī Transporta infrastruktūras un </w:t>
      </w:r>
      <w:r w:rsidR="00080F60">
        <w:t>T</w:t>
      </w:r>
      <w:r w:rsidR="00790A70">
        <w:t>ehniskās apbūves teritoriju funkcionālās zonas, k</w:t>
      </w:r>
      <w:r w:rsidRPr="00E259A3">
        <w:t xml:space="preserve">onstatēts, ka </w:t>
      </w:r>
      <w:r w:rsidR="00790A70">
        <w:t>18</w:t>
      </w:r>
      <w:r w:rsidR="005C289B">
        <w:t xml:space="preserve"> 723</w:t>
      </w:r>
      <w:r w:rsidR="00E40754" w:rsidRPr="00D03C08">
        <w:t xml:space="preserve"> zemes vienībām </w:t>
      </w:r>
      <w:r w:rsidR="00E40754" w:rsidRPr="00AF5A21">
        <w:rPr>
          <w:rFonts w:cs="Times New Roman"/>
          <w:szCs w:val="24"/>
        </w:rPr>
        <w:t xml:space="preserve">noteiktais </w:t>
      </w:r>
      <w:r w:rsidR="00882ADC">
        <w:rPr>
          <w:rFonts w:cs="Times New Roman"/>
          <w:szCs w:val="24"/>
        </w:rPr>
        <w:t>NĪLM</w:t>
      </w:r>
      <w:r w:rsidR="00E40754" w:rsidRPr="00AF5A21">
        <w:rPr>
          <w:rFonts w:cs="Times New Roman"/>
          <w:szCs w:val="24"/>
        </w:rPr>
        <w:t xml:space="preserve"> </w:t>
      </w:r>
      <w:r w:rsidR="00790A70">
        <w:rPr>
          <w:rFonts w:cs="Times New Roman"/>
          <w:szCs w:val="24"/>
        </w:rPr>
        <w:t>ne</w:t>
      </w:r>
      <w:r w:rsidR="00DA56C6">
        <w:rPr>
          <w:rFonts w:cs="Times New Roman"/>
          <w:szCs w:val="24"/>
        </w:rPr>
        <w:t>sakrīt</w:t>
      </w:r>
      <w:r w:rsidR="00E40754" w:rsidRPr="00AF5A21">
        <w:rPr>
          <w:rFonts w:cs="Times New Roman"/>
          <w:szCs w:val="24"/>
        </w:rPr>
        <w:t xml:space="preserve"> teritorijas plānojuma funkcionāl</w:t>
      </w:r>
      <w:r w:rsidR="00AF5A21">
        <w:rPr>
          <w:rFonts w:cs="Times New Roman"/>
          <w:szCs w:val="24"/>
        </w:rPr>
        <w:t>ās</w:t>
      </w:r>
      <w:r w:rsidR="00E40754" w:rsidRPr="00AF5A21">
        <w:rPr>
          <w:rFonts w:cs="Times New Roman"/>
          <w:szCs w:val="24"/>
        </w:rPr>
        <w:t xml:space="preserve"> zon</w:t>
      </w:r>
      <w:r w:rsidR="00AF5A21">
        <w:rPr>
          <w:rFonts w:cs="Times New Roman"/>
          <w:szCs w:val="24"/>
        </w:rPr>
        <w:t>ās</w:t>
      </w:r>
      <w:r w:rsidR="00D50AB1">
        <w:rPr>
          <w:rFonts w:cs="Times New Roman"/>
          <w:szCs w:val="24"/>
        </w:rPr>
        <w:t xml:space="preserve"> dominējošai</w:t>
      </w:r>
      <w:r w:rsidR="00E40754" w:rsidRPr="00AF5A21">
        <w:rPr>
          <w:rFonts w:cs="Times New Roman"/>
          <w:szCs w:val="24"/>
        </w:rPr>
        <w:t xml:space="preserve"> izmantošan</w:t>
      </w:r>
      <w:r w:rsidR="00790A70">
        <w:rPr>
          <w:rFonts w:cs="Times New Roman"/>
          <w:szCs w:val="24"/>
        </w:rPr>
        <w:t>ai</w:t>
      </w:r>
      <w:r w:rsidR="00301E53" w:rsidRPr="00AF5A21">
        <w:rPr>
          <w:rFonts w:cs="Times New Roman"/>
          <w:szCs w:val="24"/>
        </w:rPr>
        <w:t>(1.tabula)</w:t>
      </w:r>
      <w:r w:rsidR="00AF5A21">
        <w:rPr>
          <w:rFonts w:cs="Times New Roman"/>
          <w:szCs w:val="24"/>
        </w:rPr>
        <w:t xml:space="preserve">, </w:t>
      </w:r>
      <w:r w:rsidR="00D03C08" w:rsidRPr="00AF5A21">
        <w:rPr>
          <w:rFonts w:cs="Times New Roman"/>
          <w:szCs w:val="24"/>
        </w:rPr>
        <w:t>kā noteikts</w:t>
      </w:r>
      <w:r w:rsidR="00E40754" w:rsidRPr="00AF5A21">
        <w:rPr>
          <w:rFonts w:cs="Times New Roman"/>
          <w:szCs w:val="24"/>
        </w:rPr>
        <w:t xml:space="preserve"> </w:t>
      </w:r>
      <w:r w:rsidR="00D03C08" w:rsidRPr="00AF5A21">
        <w:rPr>
          <w:rFonts w:cs="Times New Roman"/>
          <w:szCs w:val="24"/>
        </w:rPr>
        <w:t>MK noteikumos Nr. 240</w:t>
      </w:r>
      <w:r w:rsidR="00E40754" w:rsidRPr="00AF5A21">
        <w:rPr>
          <w:rFonts w:cs="Times New Roman"/>
          <w:szCs w:val="24"/>
        </w:rPr>
        <w:t>.</w:t>
      </w:r>
      <w:r w:rsidR="00E40754" w:rsidRPr="00C26961">
        <w:t xml:space="preserve"> </w:t>
      </w:r>
    </w:p>
    <w:p w14:paraId="02A972FE" w14:textId="09B36B6F" w:rsidR="008B09A5" w:rsidRDefault="00ED4288" w:rsidP="000A5840">
      <w:pPr>
        <w:spacing w:before="120" w:after="0" w:line="240" w:lineRule="auto"/>
        <w:ind w:firstLine="720"/>
        <w:rPr>
          <w:rFonts w:cs="Times New Roman"/>
          <w:color w:val="000000"/>
          <w:szCs w:val="24"/>
        </w:rPr>
      </w:pPr>
      <w:r>
        <w:t xml:space="preserve">Statistiskajā informācijā nav papildus izvērtēta </w:t>
      </w:r>
      <w:r w:rsidR="008B09A5">
        <w:t xml:space="preserve">teritorijas plānojuma </w:t>
      </w:r>
      <w:r>
        <w:t>funkcionālo zon</w:t>
      </w:r>
      <w:r w:rsidR="00D50AB1">
        <w:t>ās noteiktās</w:t>
      </w:r>
      <w:r>
        <w:t xml:space="preserve"> </w:t>
      </w:r>
      <w:proofErr w:type="spellStart"/>
      <w:r w:rsidR="00D50AB1" w:rsidRPr="00D50AB1">
        <w:t>papildizmantošan</w:t>
      </w:r>
      <w:r w:rsidR="0055414C">
        <w:t>a</w:t>
      </w:r>
      <w:r w:rsidR="00D50AB1">
        <w:t>s</w:t>
      </w:r>
      <w:proofErr w:type="spellEnd"/>
      <w:r>
        <w:t>.</w:t>
      </w:r>
      <w:r w:rsidR="008B09A5">
        <w:t xml:space="preserve"> </w:t>
      </w:r>
      <w:r>
        <w:t xml:space="preserve">Piemēram, </w:t>
      </w:r>
      <w:r w:rsidR="001A1B60">
        <w:t>1</w:t>
      </w:r>
      <w:r w:rsidR="00C26961" w:rsidRPr="005341F9">
        <w:t>. tabulā</w:t>
      </w:r>
      <w:r w:rsidR="00C26961">
        <w:t xml:space="preserve">, </w:t>
      </w:r>
      <w:r w:rsidR="008B09A5">
        <w:t xml:space="preserve">lauksaimniecības zemes 101 NĪLM ir noteikts Savrupmāju apbūves funkcionālajās zonā </w:t>
      </w:r>
      <w:r w:rsidR="00ED2364">
        <w:t>5 462</w:t>
      </w:r>
      <w:r w:rsidR="00C26961">
        <w:t xml:space="preserve"> zemes vienībām,</w:t>
      </w:r>
      <w:r w:rsidR="00ED2364">
        <w:t xml:space="preserve"> </w:t>
      </w:r>
      <w:proofErr w:type="spellStart"/>
      <w:r w:rsidR="008B09A5" w:rsidRPr="00ED4288">
        <w:t>Mazstāvu</w:t>
      </w:r>
      <w:proofErr w:type="spellEnd"/>
      <w:r w:rsidR="008B09A5" w:rsidRPr="00ED4288">
        <w:t xml:space="preserve"> dzīvojamās apbūves teritorij</w:t>
      </w:r>
      <w:r w:rsidR="008B09A5">
        <w:t xml:space="preserve">ā </w:t>
      </w:r>
      <w:r w:rsidR="00ED2364">
        <w:t>1</w:t>
      </w:r>
      <w:r>
        <w:t xml:space="preserve"> </w:t>
      </w:r>
      <w:r w:rsidR="00ED2364">
        <w:t>323</w:t>
      </w:r>
      <w:r w:rsidR="00C26961">
        <w:t xml:space="preserve"> </w:t>
      </w:r>
      <w:r>
        <w:t xml:space="preserve">zemes vienības un </w:t>
      </w:r>
      <w:r w:rsidR="008B09A5" w:rsidRPr="00ED4288">
        <w:t>Daudzstāvu dzīvojamās apbūves teritorija</w:t>
      </w:r>
      <w:r w:rsidR="008B09A5">
        <w:t xml:space="preserve"> </w:t>
      </w:r>
      <w:r>
        <w:t xml:space="preserve">15 zemes vienības, </w:t>
      </w:r>
      <w:r w:rsidR="008B09A5">
        <w:t xml:space="preserve">kurās </w:t>
      </w:r>
      <w:r>
        <w:t xml:space="preserve">atbilstoši </w:t>
      </w:r>
      <w:r w:rsidRPr="00AF5A21">
        <w:rPr>
          <w:rFonts w:cs="Times New Roman"/>
          <w:szCs w:val="24"/>
        </w:rPr>
        <w:t>MK noteikum</w:t>
      </w:r>
      <w:r w:rsidR="00D50AB1">
        <w:rPr>
          <w:rFonts w:cs="Times New Roman"/>
          <w:szCs w:val="24"/>
        </w:rPr>
        <w:t>iem</w:t>
      </w:r>
      <w:r w:rsidRPr="00AF5A21">
        <w:rPr>
          <w:rFonts w:cs="Times New Roman"/>
          <w:szCs w:val="24"/>
        </w:rPr>
        <w:t xml:space="preserve"> Nr. 240</w:t>
      </w:r>
      <w:r w:rsidR="00D50AB1">
        <w:rPr>
          <w:rFonts w:cs="Times New Roman"/>
          <w:szCs w:val="24"/>
        </w:rPr>
        <w:t xml:space="preserve"> </w:t>
      </w:r>
      <w:r w:rsidR="008B09A5">
        <w:rPr>
          <w:rFonts w:cs="Times New Roman"/>
          <w:szCs w:val="24"/>
        </w:rPr>
        <w:t>,</w:t>
      </w:r>
      <w:r w:rsidRPr="00AF5A21">
        <w:rPr>
          <w:rFonts w:cs="Times New Roman"/>
          <w:szCs w:val="24"/>
        </w:rPr>
        <w:t xml:space="preserve"> </w:t>
      </w:r>
      <w:r>
        <w:rPr>
          <w:rFonts w:cs="Times New Roman"/>
          <w:color w:val="000000"/>
          <w:szCs w:val="24"/>
        </w:rPr>
        <w:t>ja zemes vienība atrodas pilsētā vai ciema teritorijā</w:t>
      </w:r>
      <w:r w:rsidR="00D50AB1">
        <w:rPr>
          <w:rFonts w:cs="Times New Roman"/>
          <w:color w:val="000000"/>
          <w:szCs w:val="24"/>
        </w:rPr>
        <w:t>, tad</w:t>
      </w:r>
      <w:r w:rsidR="00301E53">
        <w:rPr>
          <w:rFonts w:cs="Times New Roman"/>
          <w:color w:val="000000"/>
          <w:szCs w:val="24"/>
        </w:rPr>
        <w:t xml:space="preserve"> kā</w:t>
      </w:r>
      <w:r w:rsidR="00D50AB1">
        <w:rPr>
          <w:rFonts w:cs="Times New Roman"/>
          <w:color w:val="000000"/>
          <w:szCs w:val="24"/>
        </w:rPr>
        <w:t xml:space="preserve"> </w:t>
      </w:r>
      <w:proofErr w:type="spellStart"/>
      <w:r w:rsidR="00D50AB1">
        <w:rPr>
          <w:rFonts w:cs="Times New Roman"/>
          <w:color w:val="000000"/>
          <w:szCs w:val="24"/>
        </w:rPr>
        <w:t>papildizmantošana</w:t>
      </w:r>
      <w:r w:rsidR="00CE6D73">
        <w:rPr>
          <w:rFonts w:cs="Times New Roman"/>
          <w:color w:val="000000"/>
          <w:szCs w:val="24"/>
        </w:rPr>
        <w:t>s</w:t>
      </w:r>
      <w:proofErr w:type="spellEnd"/>
      <w:r w:rsidR="00CE6D73">
        <w:rPr>
          <w:rFonts w:cs="Times New Roman"/>
          <w:color w:val="000000"/>
          <w:szCs w:val="24"/>
        </w:rPr>
        <w:t xml:space="preserve"> veids</w:t>
      </w:r>
      <w:r w:rsidR="00D50AB1">
        <w:rPr>
          <w:rFonts w:cs="Times New Roman"/>
          <w:color w:val="000000"/>
          <w:szCs w:val="24"/>
        </w:rPr>
        <w:t xml:space="preserve"> var būt </w:t>
      </w:r>
      <w:r w:rsidR="00CE6D73">
        <w:rPr>
          <w:rFonts w:cs="Times New Roman"/>
          <w:color w:val="000000"/>
          <w:szCs w:val="24"/>
        </w:rPr>
        <w:t>l</w:t>
      </w:r>
      <w:r w:rsidR="00D50AB1">
        <w:rPr>
          <w:rFonts w:cs="Times New Roman"/>
          <w:color w:val="000000"/>
          <w:szCs w:val="24"/>
        </w:rPr>
        <w:t>auksaimniec</w:t>
      </w:r>
      <w:r w:rsidR="00CE6D73">
        <w:rPr>
          <w:rFonts w:cs="Times New Roman"/>
          <w:color w:val="000000"/>
          <w:szCs w:val="24"/>
        </w:rPr>
        <w:t>iskā</w:t>
      </w:r>
      <w:r w:rsidR="00D50AB1">
        <w:rPr>
          <w:rFonts w:cs="Times New Roman"/>
          <w:color w:val="000000"/>
          <w:szCs w:val="24"/>
        </w:rPr>
        <w:t xml:space="preserve"> </w:t>
      </w:r>
      <w:r w:rsidR="00CE6D73">
        <w:rPr>
          <w:rFonts w:cs="Times New Roman"/>
          <w:color w:val="000000"/>
          <w:szCs w:val="24"/>
        </w:rPr>
        <w:t>izmantošana.</w:t>
      </w:r>
      <w:r w:rsidR="00D50AB1">
        <w:rPr>
          <w:rFonts w:cs="Times New Roman"/>
          <w:color w:val="000000"/>
          <w:szCs w:val="24"/>
        </w:rPr>
        <w:t xml:space="preserve"> </w:t>
      </w:r>
    </w:p>
    <w:p w14:paraId="443BB723" w14:textId="37E7AB18" w:rsidR="003F3E5A" w:rsidRDefault="008B09A5" w:rsidP="000A5840">
      <w:pPr>
        <w:spacing w:before="120" w:after="0" w:line="240" w:lineRule="auto"/>
        <w:ind w:firstLine="720"/>
      </w:pPr>
      <w:r w:rsidRPr="00080F60">
        <w:rPr>
          <w:rFonts w:cs="Times New Roman"/>
          <w:color w:val="000000"/>
          <w:szCs w:val="24"/>
        </w:rPr>
        <w:t>Savukārt Jauktas centra, Publiskās apbūves</w:t>
      </w:r>
      <w:r w:rsidR="00CE6D73" w:rsidRPr="00080F60">
        <w:rPr>
          <w:rFonts w:cs="Times New Roman"/>
          <w:color w:val="000000"/>
          <w:szCs w:val="24"/>
        </w:rPr>
        <w:t xml:space="preserve">, </w:t>
      </w:r>
      <w:r w:rsidRPr="00080F60">
        <w:rPr>
          <w:rFonts w:cs="Times New Roman"/>
          <w:color w:val="000000"/>
          <w:szCs w:val="24"/>
        </w:rPr>
        <w:t xml:space="preserve">Rūpniecības apbūves teritorijas, </w:t>
      </w:r>
      <w:r w:rsidR="00756DE0" w:rsidRPr="00080F60">
        <w:t>neparedz</w:t>
      </w:r>
      <w:r w:rsidR="00C26961" w:rsidRPr="00080F60">
        <w:t xml:space="preserve"> </w:t>
      </w:r>
      <w:r w:rsidR="00CE6D73" w:rsidRPr="00080F60">
        <w:t xml:space="preserve">lauksaimniecisko </w:t>
      </w:r>
      <w:r w:rsidR="00C26961" w:rsidRPr="00080F60">
        <w:t>izmantošanu</w:t>
      </w:r>
      <w:r w:rsidR="00756DE0" w:rsidRPr="00080F60">
        <w:t>:</w:t>
      </w:r>
      <w:r w:rsidR="00C26961" w:rsidRPr="00080F60">
        <w:t xml:space="preserve"> 1 385 zemes vienības ar lauksaimniecības N</w:t>
      </w:r>
      <w:r w:rsidR="00CC60D5" w:rsidRPr="00080F60">
        <w:t>Ī</w:t>
      </w:r>
      <w:r w:rsidR="00C26961" w:rsidRPr="00080F60">
        <w:t>LM atrodas Rūpnieciskās apbūves teritorijā, 924 zemes vienības – Jaukta centra apbūves teritorijā, 322 zemes vienības – Publiskās apbūves teritorijā.</w:t>
      </w:r>
      <w:r w:rsidR="00D8337C" w:rsidRPr="00080F60">
        <w:t xml:space="preserve"> </w:t>
      </w:r>
      <w:r w:rsidR="003F3E5A" w:rsidRPr="00080F60">
        <w:t xml:space="preserve">Līdzīga situācija ar meža zemes 201 un 202 NĪLM – 1015 zemes vienības atrodas Savrupmāju apbūves teritorijās, 196 - Rūpnieciskās apbūves teritorijā, 288 – citās apbūves teritorijās. Kopā tās </w:t>
      </w:r>
      <w:r w:rsidR="0064286E" w:rsidRPr="00080F60">
        <w:t xml:space="preserve">jau </w:t>
      </w:r>
      <w:r w:rsidR="003F3E5A" w:rsidRPr="00080F60">
        <w:t xml:space="preserve">veido vairāk kā 4000 zemes </w:t>
      </w:r>
      <w:r w:rsidR="003F3E5A" w:rsidRPr="00080F60">
        <w:lastRenderedPageBreak/>
        <w:t>vienību, kurām var tikt mainīts zemes lietošanas mērķis no lauku grupas uz apbūves zemes mērķi</w:t>
      </w:r>
      <w:r w:rsidR="004A283C" w:rsidRPr="00080F60">
        <w:t>, kas būtiski var palielināt kadastrālo vērtību.</w:t>
      </w:r>
    </w:p>
    <w:bookmarkEnd w:id="2"/>
    <w:p w14:paraId="3F26E583" w14:textId="77777777" w:rsidR="007D55D9" w:rsidRDefault="007D55D9" w:rsidP="00EB367A">
      <w:pPr>
        <w:spacing w:after="0" w:line="276" w:lineRule="auto"/>
        <w:ind w:firstLine="720"/>
        <w:jc w:val="right"/>
      </w:pPr>
    </w:p>
    <w:p w14:paraId="5DB6B5F6" w14:textId="77777777" w:rsidR="00904BD4" w:rsidRDefault="00904BD4" w:rsidP="00EB367A">
      <w:pPr>
        <w:spacing w:after="0" w:line="276" w:lineRule="auto"/>
        <w:ind w:firstLine="720"/>
        <w:jc w:val="right"/>
      </w:pPr>
    </w:p>
    <w:p w14:paraId="6245280D" w14:textId="1120C1D4" w:rsidR="00EB367A" w:rsidRDefault="001A1B60" w:rsidP="00EB367A">
      <w:pPr>
        <w:spacing w:after="0" w:line="276" w:lineRule="auto"/>
        <w:ind w:firstLine="720"/>
        <w:jc w:val="right"/>
      </w:pPr>
      <w:r>
        <w:t>1</w:t>
      </w:r>
      <w:r w:rsidR="00EB367A" w:rsidRPr="00FC3AB6">
        <w:t>. tabula</w:t>
      </w:r>
    </w:p>
    <w:p w14:paraId="33A53364" w14:textId="0E4AD9C1" w:rsidR="005341F9" w:rsidRDefault="005341F9" w:rsidP="00E82A70">
      <w:pPr>
        <w:spacing w:after="0" w:line="276" w:lineRule="auto"/>
        <w:ind w:firstLine="720"/>
        <w:jc w:val="center"/>
      </w:pPr>
      <w:r>
        <w:t>Zemes vienību</w:t>
      </w:r>
      <w:r w:rsidR="00EE6491">
        <w:t xml:space="preserve"> skaits pēc lielākā </w:t>
      </w:r>
      <w:r>
        <w:t>N</w:t>
      </w:r>
      <w:r w:rsidR="00CC60D5">
        <w:t>Ī</w:t>
      </w:r>
      <w:r>
        <w:t xml:space="preserve">LM </w:t>
      </w:r>
      <w:r w:rsidR="00EE6491">
        <w:t xml:space="preserve">apbūves </w:t>
      </w:r>
      <w:r>
        <w:t>funkcionāl</w:t>
      </w:r>
      <w:r w:rsidR="00EE6491">
        <w:t>ās</w:t>
      </w:r>
      <w:r>
        <w:t xml:space="preserve"> zon</w:t>
      </w:r>
      <w:r w:rsidR="00EE6491">
        <w:t>ās</w:t>
      </w:r>
      <w:r w:rsidR="00D03C08">
        <w:t xml:space="preserve"> </w:t>
      </w:r>
    </w:p>
    <w:p w14:paraId="3BA5B924" w14:textId="58326990" w:rsidR="008755C3" w:rsidRDefault="008755C3" w:rsidP="008755C3">
      <w:pPr>
        <w:spacing w:after="0" w:line="276" w:lineRule="auto"/>
        <w:ind w:firstLine="720"/>
      </w:pPr>
      <w:r>
        <w:rPr>
          <w:noProof/>
        </w:rPr>
        <w:drawing>
          <wp:inline distT="0" distB="0" distL="0" distR="0" wp14:anchorId="21089015" wp14:editId="608C3624">
            <wp:extent cx="4867275" cy="6700520"/>
            <wp:effectExtent l="0" t="0" r="9525" b="5080"/>
            <wp:docPr id="7" name="Attēls 7"/>
            <wp:cNvGraphicFramePr/>
            <a:graphic xmlns:a="http://schemas.openxmlformats.org/drawingml/2006/main">
              <a:graphicData uri="http://schemas.openxmlformats.org/drawingml/2006/picture">
                <pic:pic xmlns:pic="http://schemas.openxmlformats.org/drawingml/2006/picture">
                  <pic:nvPicPr>
                    <pic:cNvPr id="1" name="Attēls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67275" cy="6700520"/>
                    </a:xfrm>
                    <a:prstGeom prst="rect">
                      <a:avLst/>
                    </a:prstGeom>
                    <a:noFill/>
                    <a:ln>
                      <a:noFill/>
                    </a:ln>
                  </pic:spPr>
                </pic:pic>
              </a:graphicData>
            </a:graphic>
          </wp:inline>
        </w:drawing>
      </w:r>
    </w:p>
    <w:p w14:paraId="31882041" w14:textId="77777777" w:rsidR="008755C3" w:rsidRDefault="008755C3" w:rsidP="00E82A70">
      <w:pPr>
        <w:spacing w:after="0" w:line="276" w:lineRule="auto"/>
        <w:ind w:firstLine="720"/>
        <w:jc w:val="center"/>
      </w:pPr>
    </w:p>
    <w:p w14:paraId="5AB2EB3F" w14:textId="2197C979" w:rsidR="00F4534B" w:rsidRDefault="00F4534B" w:rsidP="00F4534B">
      <w:pPr>
        <w:spacing w:line="276" w:lineRule="auto"/>
        <w:jc w:val="center"/>
      </w:pPr>
    </w:p>
    <w:p w14:paraId="5718DB68" w14:textId="6FA60450" w:rsidR="00BD4552" w:rsidRDefault="00BD4552" w:rsidP="00F4534B">
      <w:pPr>
        <w:spacing w:line="276" w:lineRule="auto"/>
        <w:jc w:val="center"/>
      </w:pPr>
    </w:p>
    <w:p w14:paraId="4F00619B" w14:textId="5CAD4A8D" w:rsidR="00BD4552" w:rsidRDefault="00BD4552" w:rsidP="00F4534B">
      <w:pPr>
        <w:spacing w:line="276" w:lineRule="auto"/>
        <w:jc w:val="center"/>
      </w:pPr>
    </w:p>
    <w:p w14:paraId="7F11FBDB" w14:textId="6FF7EB54" w:rsidR="00BD4552" w:rsidRDefault="00BD4552" w:rsidP="00F4534B">
      <w:pPr>
        <w:spacing w:line="276" w:lineRule="auto"/>
        <w:jc w:val="center"/>
      </w:pPr>
    </w:p>
    <w:p w14:paraId="150BEF94" w14:textId="05F2B033" w:rsidR="00BD4552" w:rsidRDefault="00BD4552" w:rsidP="00F4534B">
      <w:pPr>
        <w:spacing w:line="276" w:lineRule="auto"/>
        <w:jc w:val="center"/>
      </w:pPr>
    </w:p>
    <w:p w14:paraId="4A5E472E" w14:textId="0BFCEFD9" w:rsidR="00BD4552" w:rsidRDefault="00BD4552" w:rsidP="00F4534B">
      <w:pPr>
        <w:spacing w:line="276" w:lineRule="auto"/>
        <w:jc w:val="center"/>
      </w:pPr>
      <w:bookmarkStart w:id="3" w:name="_Hlk166850684"/>
      <w:r w:rsidRPr="00BD4552">
        <w:t>Zemes vienību skaits pēc lielākā NĪLM</w:t>
      </w:r>
      <w:r>
        <w:t xml:space="preserve"> (lauksaimniecība, mežsaimniecība) un platībām</w:t>
      </w:r>
      <w:r w:rsidRPr="00BD4552">
        <w:t xml:space="preserve"> apbūves funkcionālās zonās</w:t>
      </w:r>
    </w:p>
    <w:bookmarkEnd w:id="3"/>
    <w:p w14:paraId="2784AB83" w14:textId="53483128" w:rsidR="00BD4552" w:rsidRDefault="00BD4552" w:rsidP="00BD4552">
      <w:pPr>
        <w:spacing w:after="0" w:line="276" w:lineRule="auto"/>
        <w:ind w:firstLine="720"/>
        <w:jc w:val="right"/>
      </w:pPr>
      <w:r>
        <w:t>2</w:t>
      </w:r>
      <w:r w:rsidRPr="00FC3AB6">
        <w:t>. tabula</w:t>
      </w:r>
    </w:p>
    <w:p w14:paraId="20D8DE86" w14:textId="544724C6" w:rsidR="00D03C08" w:rsidRDefault="007C7EDC" w:rsidP="007C7EDC">
      <w:pPr>
        <w:spacing w:after="0" w:line="240" w:lineRule="auto"/>
        <w:ind w:hanging="142"/>
      </w:pPr>
      <w:r>
        <w:rPr>
          <w:rFonts w:cs="Times New Roman"/>
          <w:noProof/>
          <w:szCs w:val="24"/>
        </w:rPr>
        <w:drawing>
          <wp:inline distT="0" distB="0" distL="0" distR="0" wp14:anchorId="03C09D33" wp14:editId="1BB6F3C4">
            <wp:extent cx="5760085" cy="1724025"/>
            <wp:effectExtent l="0" t="0" r="12065" b="9525"/>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760085" cy="1724025"/>
                    </a:xfrm>
                    <a:prstGeom prst="rect">
                      <a:avLst/>
                    </a:prstGeom>
                    <a:noFill/>
                    <a:ln>
                      <a:noFill/>
                    </a:ln>
                  </pic:spPr>
                </pic:pic>
              </a:graphicData>
            </a:graphic>
          </wp:inline>
        </w:drawing>
      </w:r>
    </w:p>
    <w:p w14:paraId="578761A9" w14:textId="77777777" w:rsidR="000A5840" w:rsidRDefault="000A5840" w:rsidP="00A55ABB">
      <w:pPr>
        <w:spacing w:line="276" w:lineRule="auto"/>
        <w:ind w:firstLine="720"/>
        <w:rPr>
          <w:b/>
          <w:bCs/>
        </w:rPr>
      </w:pPr>
    </w:p>
    <w:p w14:paraId="39C80478" w14:textId="77777777" w:rsidR="000A5840" w:rsidRDefault="000A5840" w:rsidP="00A55ABB">
      <w:pPr>
        <w:spacing w:line="276" w:lineRule="auto"/>
        <w:ind w:firstLine="720"/>
        <w:rPr>
          <w:b/>
          <w:bCs/>
        </w:rPr>
      </w:pPr>
    </w:p>
    <w:p w14:paraId="2E020561" w14:textId="328BD71B" w:rsidR="00A55ABB" w:rsidRPr="005341F9" w:rsidRDefault="00A55ABB" w:rsidP="00A55ABB">
      <w:pPr>
        <w:spacing w:line="276" w:lineRule="auto"/>
        <w:ind w:firstLine="720"/>
        <w:rPr>
          <w:b/>
          <w:bCs/>
        </w:rPr>
      </w:pPr>
      <w:r w:rsidRPr="005341F9">
        <w:rPr>
          <w:b/>
          <w:bCs/>
        </w:rPr>
        <w:t>Sabiedriskās nozīmes objektu apbūves zemes.</w:t>
      </w:r>
    </w:p>
    <w:p w14:paraId="284A5CBA" w14:textId="6DFE68B0" w:rsidR="00E82A70" w:rsidRDefault="00A55ABB" w:rsidP="00D03C08">
      <w:pPr>
        <w:spacing w:after="0" w:line="240" w:lineRule="auto"/>
        <w:ind w:firstLine="720"/>
      </w:pPr>
      <w:r>
        <w:t xml:space="preserve"> Atbilstoši MK noteikumiem Nr. 240 Sabiedriskās nozīmes objektu apbūves zeme kā galvenais izmantošanas veids ir atļauta Jaukta centra apbūves teritorijas un Publiskās apbūves teritorijas funkcionālā zonā. Sabiedriskās nozīmes objektu apbūves zemes grupas N</w:t>
      </w:r>
      <w:r w:rsidR="00CC60D5">
        <w:t>Ī</w:t>
      </w:r>
      <w:r>
        <w:t xml:space="preserve">LM ir noteikti 3 836 neapbūvētām zemes vienībām (skatīt </w:t>
      </w:r>
      <w:r w:rsidR="002B5BE0">
        <w:t>6. attēlu</w:t>
      </w:r>
      <w:r w:rsidR="003C4A82">
        <w:t xml:space="preserve"> un</w:t>
      </w:r>
      <w:r w:rsidR="001D05F4">
        <w:t xml:space="preserve"> </w:t>
      </w:r>
      <w:r w:rsidR="00DF71AD">
        <w:t>3</w:t>
      </w:r>
      <w:r>
        <w:t xml:space="preserve">. </w:t>
      </w:r>
      <w:r w:rsidR="001D05F4">
        <w:t>t</w:t>
      </w:r>
      <w:r>
        <w:t>abulu</w:t>
      </w:r>
      <w:r w:rsidR="009A7F29">
        <w:t>,</w:t>
      </w:r>
      <w:r>
        <w:t>), tikai 410 zemes vienības atrodas Publiskās apbūves teritorijas funkcionālā zonā un 566 zemes vienības atrodas Jaukta centra apbūves teritorijas funkcionālā zonā. Visvairāk sabiedriskās nozīmes objektu apbūves NILM (1</w:t>
      </w:r>
      <w:r w:rsidR="00E82A70">
        <w:t xml:space="preserve"> </w:t>
      </w:r>
      <w:r>
        <w:t>574 ZV) piemērots Dabas un apstādījumu teritorijas funkcionālā zonā.</w:t>
      </w:r>
    </w:p>
    <w:p w14:paraId="3F435B0E" w14:textId="77777777" w:rsidR="00D03C08" w:rsidRDefault="00D03C08" w:rsidP="00D03C08">
      <w:pPr>
        <w:spacing w:after="0" w:line="240" w:lineRule="auto"/>
        <w:ind w:firstLine="720"/>
      </w:pPr>
    </w:p>
    <w:p w14:paraId="0B038451" w14:textId="0309C154" w:rsidR="00115AC2" w:rsidRDefault="00115AC2" w:rsidP="008755C3">
      <w:pPr>
        <w:spacing w:line="276" w:lineRule="auto"/>
        <w:ind w:firstLine="720"/>
        <w:jc w:val="center"/>
      </w:pPr>
      <w:r>
        <w:rPr>
          <w:noProof/>
        </w:rPr>
        <w:drawing>
          <wp:inline distT="0" distB="0" distL="0" distR="0" wp14:anchorId="4CE644FA" wp14:editId="4E4EC514">
            <wp:extent cx="5274524" cy="2897332"/>
            <wp:effectExtent l="19050" t="19050" r="21590" b="17780"/>
            <wp:docPr id="28" name="Attēls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3383" cy="2918677"/>
                    </a:xfrm>
                    <a:prstGeom prst="rect">
                      <a:avLst/>
                    </a:prstGeom>
                    <a:noFill/>
                    <a:ln w="3175">
                      <a:solidFill>
                        <a:schemeClr val="tx1"/>
                      </a:solidFill>
                    </a:ln>
                  </pic:spPr>
                </pic:pic>
              </a:graphicData>
            </a:graphic>
          </wp:inline>
        </w:drawing>
      </w:r>
    </w:p>
    <w:p w14:paraId="3F91B062" w14:textId="33BED13F" w:rsidR="002B5BE0" w:rsidRDefault="002B5BE0" w:rsidP="00115AC2">
      <w:pPr>
        <w:spacing w:line="276" w:lineRule="auto"/>
        <w:ind w:firstLine="720"/>
        <w:jc w:val="center"/>
      </w:pPr>
      <w:r>
        <w:t>6. attēls</w:t>
      </w:r>
    </w:p>
    <w:p w14:paraId="676101DD" w14:textId="7B989263" w:rsidR="00EB367A" w:rsidRDefault="003C4A82" w:rsidP="00EB367A">
      <w:pPr>
        <w:spacing w:after="0" w:line="276" w:lineRule="auto"/>
      </w:pPr>
      <w:r>
        <w:tab/>
      </w:r>
      <w:r w:rsidR="00BD4552">
        <w:t>3</w:t>
      </w:r>
      <w:r>
        <w:t xml:space="preserve">. tabulā ir attēlota informācija par sabiedriskās nozīmes objektu apbūves zemes skaitu funkcionālās zonās administratīvo teritoriju griezumā. </w:t>
      </w:r>
    </w:p>
    <w:p w14:paraId="58773685" w14:textId="77777777" w:rsidR="000A5840" w:rsidRDefault="000A5840" w:rsidP="00EB367A">
      <w:pPr>
        <w:spacing w:after="0" w:line="276" w:lineRule="auto"/>
        <w:jc w:val="right"/>
        <w:rPr>
          <w:szCs w:val="24"/>
        </w:rPr>
      </w:pPr>
    </w:p>
    <w:p w14:paraId="17E06A29" w14:textId="77777777" w:rsidR="000A5840" w:rsidRDefault="000A5840" w:rsidP="00EB367A">
      <w:pPr>
        <w:spacing w:after="0" w:line="276" w:lineRule="auto"/>
        <w:jc w:val="right"/>
        <w:rPr>
          <w:szCs w:val="24"/>
        </w:rPr>
      </w:pPr>
    </w:p>
    <w:p w14:paraId="530A9BA1" w14:textId="77777777" w:rsidR="000A5840" w:rsidRDefault="000A5840" w:rsidP="00EB367A">
      <w:pPr>
        <w:spacing w:after="0" w:line="276" w:lineRule="auto"/>
        <w:jc w:val="right"/>
        <w:rPr>
          <w:szCs w:val="24"/>
        </w:rPr>
      </w:pPr>
    </w:p>
    <w:p w14:paraId="59A054BE" w14:textId="30DF3682" w:rsidR="00EB367A" w:rsidRDefault="00BD4552" w:rsidP="00EB367A">
      <w:pPr>
        <w:spacing w:after="0" w:line="276" w:lineRule="auto"/>
        <w:jc w:val="right"/>
        <w:rPr>
          <w:szCs w:val="24"/>
        </w:rPr>
      </w:pPr>
      <w:r>
        <w:rPr>
          <w:szCs w:val="24"/>
        </w:rPr>
        <w:t>3</w:t>
      </w:r>
      <w:r w:rsidR="00EB367A" w:rsidRPr="001A1B60">
        <w:rPr>
          <w:szCs w:val="24"/>
        </w:rPr>
        <w:t>. tabula</w:t>
      </w:r>
    </w:p>
    <w:p w14:paraId="6C36EFBD" w14:textId="74338BF5" w:rsidR="00A55ABB" w:rsidRPr="00A55ABB" w:rsidRDefault="00A55ABB" w:rsidP="00EB367A">
      <w:pPr>
        <w:spacing w:after="0" w:line="276" w:lineRule="auto"/>
        <w:jc w:val="center"/>
        <w:rPr>
          <w:szCs w:val="24"/>
        </w:rPr>
      </w:pPr>
      <w:r w:rsidRPr="00A55ABB">
        <w:rPr>
          <w:szCs w:val="24"/>
        </w:rPr>
        <w:t>Neapbūvētas zemes vienības ar N</w:t>
      </w:r>
      <w:r w:rsidR="00CC60D5">
        <w:rPr>
          <w:szCs w:val="24"/>
        </w:rPr>
        <w:t>Ī</w:t>
      </w:r>
      <w:r w:rsidRPr="00A55ABB">
        <w:rPr>
          <w:szCs w:val="24"/>
        </w:rPr>
        <w:t>LM no grupas 09 “Sabiedriskās nozīmes objektu apbūves zeme” un teritorijas plānojumā funkcionālās zonas pašvaldību griezumā</w:t>
      </w:r>
    </w:p>
    <w:p w14:paraId="71916366" w14:textId="1633439C" w:rsidR="006D4E89" w:rsidRDefault="006D4E89" w:rsidP="00A55ABB">
      <w:pPr>
        <w:spacing w:line="276" w:lineRule="auto"/>
        <w:jc w:val="right"/>
        <w:rPr>
          <w:szCs w:val="24"/>
        </w:rPr>
      </w:pPr>
      <w:r w:rsidRPr="006D4E89">
        <w:rPr>
          <w:noProof/>
        </w:rPr>
        <w:drawing>
          <wp:inline distT="0" distB="0" distL="0" distR="0" wp14:anchorId="34589C5A" wp14:editId="109DE044">
            <wp:extent cx="5835027" cy="5594067"/>
            <wp:effectExtent l="0" t="0" r="0" b="6985"/>
            <wp:docPr id="12" name="Attēl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2912" cy="5601626"/>
                    </a:xfrm>
                    <a:prstGeom prst="rect">
                      <a:avLst/>
                    </a:prstGeom>
                    <a:noFill/>
                    <a:ln>
                      <a:noFill/>
                    </a:ln>
                  </pic:spPr>
                </pic:pic>
              </a:graphicData>
            </a:graphic>
          </wp:inline>
        </w:drawing>
      </w:r>
    </w:p>
    <w:p w14:paraId="70964A0C" w14:textId="77777777" w:rsidR="00D03C08" w:rsidRDefault="00D03C08" w:rsidP="006D4E89">
      <w:pPr>
        <w:spacing w:line="276" w:lineRule="auto"/>
        <w:jc w:val="left"/>
        <w:rPr>
          <w:b/>
          <w:bCs/>
          <w:szCs w:val="24"/>
        </w:rPr>
      </w:pPr>
    </w:p>
    <w:p w14:paraId="21CE6889" w14:textId="77777777" w:rsidR="000A5840" w:rsidRDefault="000A5840" w:rsidP="006D4E89">
      <w:pPr>
        <w:spacing w:line="276" w:lineRule="auto"/>
        <w:jc w:val="left"/>
        <w:rPr>
          <w:b/>
          <w:bCs/>
          <w:szCs w:val="24"/>
        </w:rPr>
      </w:pPr>
    </w:p>
    <w:p w14:paraId="6B74918A" w14:textId="77777777" w:rsidR="000A5840" w:rsidRDefault="000A5840" w:rsidP="006D4E89">
      <w:pPr>
        <w:spacing w:line="276" w:lineRule="auto"/>
        <w:jc w:val="left"/>
        <w:rPr>
          <w:b/>
          <w:bCs/>
          <w:szCs w:val="24"/>
        </w:rPr>
      </w:pPr>
    </w:p>
    <w:p w14:paraId="0EDFF07B" w14:textId="77777777" w:rsidR="000A5840" w:rsidRDefault="000A5840" w:rsidP="006D4E89">
      <w:pPr>
        <w:spacing w:line="276" w:lineRule="auto"/>
        <w:jc w:val="left"/>
        <w:rPr>
          <w:b/>
          <w:bCs/>
          <w:szCs w:val="24"/>
        </w:rPr>
      </w:pPr>
    </w:p>
    <w:p w14:paraId="2729B84B" w14:textId="77777777" w:rsidR="000A5840" w:rsidRDefault="000A5840" w:rsidP="006D4E89">
      <w:pPr>
        <w:spacing w:line="276" w:lineRule="auto"/>
        <w:jc w:val="left"/>
        <w:rPr>
          <w:b/>
          <w:bCs/>
          <w:szCs w:val="24"/>
        </w:rPr>
      </w:pPr>
    </w:p>
    <w:p w14:paraId="55BAEB61" w14:textId="77777777" w:rsidR="000A5840" w:rsidRDefault="000A5840" w:rsidP="006D4E89">
      <w:pPr>
        <w:spacing w:line="276" w:lineRule="auto"/>
        <w:jc w:val="left"/>
        <w:rPr>
          <w:b/>
          <w:bCs/>
          <w:szCs w:val="24"/>
        </w:rPr>
      </w:pPr>
    </w:p>
    <w:p w14:paraId="2791DAFA" w14:textId="77777777" w:rsidR="000A5840" w:rsidRDefault="000A5840" w:rsidP="006D4E89">
      <w:pPr>
        <w:spacing w:line="276" w:lineRule="auto"/>
        <w:jc w:val="left"/>
        <w:rPr>
          <w:b/>
          <w:bCs/>
          <w:szCs w:val="24"/>
        </w:rPr>
      </w:pPr>
    </w:p>
    <w:p w14:paraId="55CF8C97" w14:textId="77777777" w:rsidR="000A5840" w:rsidRDefault="000A5840" w:rsidP="006D4E89">
      <w:pPr>
        <w:spacing w:line="276" w:lineRule="auto"/>
        <w:jc w:val="left"/>
        <w:rPr>
          <w:b/>
          <w:bCs/>
          <w:szCs w:val="24"/>
        </w:rPr>
      </w:pPr>
    </w:p>
    <w:p w14:paraId="48528987" w14:textId="77777777" w:rsidR="000A5840" w:rsidRDefault="000A5840" w:rsidP="006D4E89">
      <w:pPr>
        <w:spacing w:line="276" w:lineRule="auto"/>
        <w:jc w:val="left"/>
        <w:rPr>
          <w:b/>
          <w:bCs/>
          <w:szCs w:val="24"/>
        </w:rPr>
      </w:pPr>
    </w:p>
    <w:p w14:paraId="4DCD0865" w14:textId="77777777" w:rsidR="000A5840" w:rsidRDefault="000A5840" w:rsidP="006D4E89">
      <w:pPr>
        <w:spacing w:line="276" w:lineRule="auto"/>
        <w:jc w:val="left"/>
        <w:rPr>
          <w:b/>
          <w:bCs/>
          <w:szCs w:val="24"/>
        </w:rPr>
      </w:pPr>
    </w:p>
    <w:p w14:paraId="47B581ED" w14:textId="2172D7C9" w:rsidR="006D4E89" w:rsidRPr="0013245C" w:rsidRDefault="0013245C" w:rsidP="006D4E89">
      <w:pPr>
        <w:spacing w:line="276" w:lineRule="auto"/>
        <w:jc w:val="left"/>
        <w:rPr>
          <w:b/>
          <w:bCs/>
          <w:szCs w:val="24"/>
        </w:rPr>
      </w:pPr>
      <w:r w:rsidRPr="0013245C">
        <w:rPr>
          <w:b/>
          <w:bCs/>
          <w:szCs w:val="24"/>
        </w:rPr>
        <w:t>Derīgie izrakteņi</w:t>
      </w:r>
    </w:p>
    <w:p w14:paraId="587745A4" w14:textId="7444EDBE" w:rsidR="0013245C" w:rsidRPr="00D03C08" w:rsidRDefault="0013245C" w:rsidP="006C080A">
      <w:pPr>
        <w:spacing w:line="276" w:lineRule="auto"/>
      </w:pPr>
      <w:r w:rsidRPr="00D03C08">
        <w:t xml:space="preserve">Atbilstoši MK noteikumiem Nr.240, derīgo izrakteņu ieguves </w:t>
      </w:r>
      <w:r w:rsidR="00B45D64">
        <w:t xml:space="preserve">zemei </w:t>
      </w:r>
      <w:r w:rsidRPr="00D03C08">
        <w:t>jā</w:t>
      </w:r>
      <w:r w:rsidR="00B45D64">
        <w:t xml:space="preserve">atrodas </w:t>
      </w:r>
      <w:r w:rsidRPr="00D03C08">
        <w:t xml:space="preserve"> lauksaimniecības, mežu vai ūdeņu teritorijās</w:t>
      </w:r>
      <w:r w:rsidR="006C080A">
        <w:t xml:space="preserve">, kur tā paredzēta </w:t>
      </w:r>
      <w:proofErr w:type="spellStart"/>
      <w:r w:rsidRPr="00D03C08">
        <w:t>papildizmantošanas</w:t>
      </w:r>
      <w:proofErr w:type="spellEnd"/>
      <w:r w:rsidRPr="00D03C08">
        <w:t xml:space="preserve"> veids. </w:t>
      </w:r>
      <w:r w:rsidR="0040011E" w:rsidRPr="00D03C08">
        <w:t>Pašvaldību teritorijas plānojumos liel</w:t>
      </w:r>
      <w:r w:rsidR="00B45D64">
        <w:t>s</w:t>
      </w:r>
      <w:r w:rsidR="0040011E" w:rsidRPr="00D03C08">
        <w:t xml:space="preserve"> derīgo izrakteņu platību īpatsvar</w:t>
      </w:r>
      <w:r w:rsidR="00B45D64">
        <w:t>s (šķeļot TAPIS un kadastra karti)</w:t>
      </w:r>
      <w:r w:rsidR="0040011E" w:rsidRPr="00D03C08">
        <w:t xml:space="preserve"> </w:t>
      </w:r>
      <w:r w:rsidR="00B45D64">
        <w:t xml:space="preserve">atrodas </w:t>
      </w:r>
      <w:r w:rsidR="0040011E" w:rsidRPr="00D03C08">
        <w:t>Rūpnieciskās apbūves</w:t>
      </w:r>
      <w:r w:rsidR="00B45D64">
        <w:t xml:space="preserve"> funkcionālajā zonā </w:t>
      </w:r>
      <w:r w:rsidR="002E7AEC" w:rsidRPr="00D03C08">
        <w:t>- 183 zemes vienības no ~500 zemes vienībām ar NĪLM</w:t>
      </w:r>
      <w:r w:rsidR="00B45D64">
        <w:t xml:space="preserve"> “</w:t>
      </w:r>
      <w:r w:rsidR="00B45D64" w:rsidRPr="00B45D64">
        <w:rPr>
          <w:i/>
          <w:iCs/>
        </w:rPr>
        <w:t>Derīgo izrakteņu ieguves teritorijas, 0401</w:t>
      </w:r>
      <w:r w:rsidR="00B45D64">
        <w:t>”</w:t>
      </w:r>
      <w:r w:rsidR="00D97E68" w:rsidRPr="00D03C08">
        <w:t xml:space="preserve"> (</w:t>
      </w:r>
      <w:r w:rsidR="00DF71AD">
        <w:t>4</w:t>
      </w:r>
      <w:r w:rsidR="00D97E68" w:rsidRPr="00D03C08">
        <w:t>.tabula)</w:t>
      </w:r>
      <w:r w:rsidR="002E7AEC" w:rsidRPr="00D03C08">
        <w:t>.</w:t>
      </w:r>
    </w:p>
    <w:p w14:paraId="4A2C2DAA" w14:textId="2119AE0F" w:rsidR="00EB367A" w:rsidRDefault="00DF71AD" w:rsidP="00EB367A">
      <w:pPr>
        <w:spacing w:line="276" w:lineRule="auto"/>
        <w:ind w:firstLine="720"/>
        <w:jc w:val="right"/>
        <w:rPr>
          <w:szCs w:val="24"/>
        </w:rPr>
      </w:pPr>
      <w:r>
        <w:rPr>
          <w:szCs w:val="24"/>
        </w:rPr>
        <w:t>4</w:t>
      </w:r>
      <w:r w:rsidR="00EB367A">
        <w:rPr>
          <w:szCs w:val="24"/>
        </w:rPr>
        <w:t>.tabula</w:t>
      </w:r>
    </w:p>
    <w:p w14:paraId="5ECEF760" w14:textId="77777777" w:rsidR="00B45D64" w:rsidRDefault="001D05F4" w:rsidP="00B45D64">
      <w:pPr>
        <w:tabs>
          <w:tab w:val="left" w:pos="1340"/>
        </w:tabs>
        <w:spacing w:after="0" w:line="276" w:lineRule="auto"/>
        <w:jc w:val="center"/>
        <w:rPr>
          <w:szCs w:val="24"/>
        </w:rPr>
      </w:pPr>
      <w:r>
        <w:rPr>
          <w:szCs w:val="24"/>
        </w:rPr>
        <w:t>Zemes vienīb</w:t>
      </w:r>
      <w:r w:rsidR="00B45D64">
        <w:rPr>
          <w:szCs w:val="24"/>
        </w:rPr>
        <w:t>as</w:t>
      </w:r>
      <w:r>
        <w:rPr>
          <w:szCs w:val="24"/>
        </w:rPr>
        <w:t xml:space="preserve"> ar </w:t>
      </w:r>
      <w:r w:rsidR="00B45D64">
        <w:rPr>
          <w:szCs w:val="24"/>
        </w:rPr>
        <w:t>lietošanas mērķi ”</w:t>
      </w:r>
      <w:r w:rsidR="00B45D64" w:rsidRPr="00B45D64">
        <w:rPr>
          <w:i/>
          <w:iCs/>
        </w:rPr>
        <w:t>Derīgo izrakteņu ieguves teritorijas</w:t>
      </w:r>
      <w:r w:rsidR="00B45D64" w:rsidRPr="00B45D64">
        <w:rPr>
          <w:i/>
          <w:iCs/>
        </w:rPr>
        <w:t>, 0401</w:t>
      </w:r>
      <w:r w:rsidR="00B45D64">
        <w:t>”</w:t>
      </w:r>
      <w:r w:rsidRPr="001D05F4">
        <w:rPr>
          <w:szCs w:val="24"/>
        </w:rPr>
        <w:t xml:space="preserve"> </w:t>
      </w:r>
    </w:p>
    <w:p w14:paraId="71D93D31" w14:textId="53C06311" w:rsidR="001D05F4" w:rsidRDefault="00B45D64" w:rsidP="00B45D64">
      <w:pPr>
        <w:tabs>
          <w:tab w:val="left" w:pos="1340"/>
        </w:tabs>
        <w:spacing w:after="0" w:line="276" w:lineRule="auto"/>
        <w:jc w:val="center"/>
        <w:rPr>
          <w:szCs w:val="24"/>
        </w:rPr>
      </w:pPr>
      <w:r>
        <w:rPr>
          <w:szCs w:val="24"/>
        </w:rPr>
        <w:t>funkcionālajā zonā “Rūpnieciskās apbūves teritorija”</w:t>
      </w:r>
    </w:p>
    <w:p w14:paraId="16A56A95" w14:textId="77777777" w:rsidR="00B45D64" w:rsidRDefault="00B45D64" w:rsidP="00B45D64">
      <w:pPr>
        <w:tabs>
          <w:tab w:val="left" w:pos="1340"/>
        </w:tabs>
        <w:spacing w:after="0" w:line="276" w:lineRule="auto"/>
        <w:jc w:val="center"/>
        <w:rPr>
          <w:szCs w:val="24"/>
        </w:rPr>
      </w:pPr>
    </w:p>
    <w:p w14:paraId="75CD14D7" w14:textId="3100986C" w:rsidR="001D05F4" w:rsidRDefault="000A5840" w:rsidP="000A5840">
      <w:pPr>
        <w:spacing w:line="276" w:lineRule="auto"/>
        <w:jc w:val="center"/>
        <w:rPr>
          <w:szCs w:val="24"/>
        </w:rPr>
      </w:pPr>
      <w:r w:rsidRPr="006D4E89">
        <w:rPr>
          <w:noProof/>
        </w:rPr>
        <w:drawing>
          <wp:inline distT="0" distB="0" distL="0" distR="0" wp14:anchorId="7EE44710" wp14:editId="16873D3B">
            <wp:extent cx="2042160" cy="4401403"/>
            <wp:effectExtent l="0" t="0" r="0" b="0"/>
            <wp:docPr id="14" name="Attēl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2160" cy="4401403"/>
                    </a:xfrm>
                    <a:prstGeom prst="rect">
                      <a:avLst/>
                    </a:prstGeom>
                    <a:noFill/>
                    <a:ln>
                      <a:noFill/>
                    </a:ln>
                  </pic:spPr>
                </pic:pic>
              </a:graphicData>
            </a:graphic>
          </wp:inline>
        </w:drawing>
      </w:r>
    </w:p>
    <w:p w14:paraId="0D3FAF23" w14:textId="427DD99E" w:rsidR="006D4E89" w:rsidRPr="00A55ABB" w:rsidRDefault="006D4E89" w:rsidP="00D97E68">
      <w:pPr>
        <w:spacing w:line="276" w:lineRule="auto"/>
        <w:jc w:val="center"/>
        <w:rPr>
          <w:szCs w:val="24"/>
        </w:rPr>
      </w:pPr>
    </w:p>
    <w:p w14:paraId="024390F4" w14:textId="34B85074" w:rsidR="00C04A70" w:rsidRPr="00F56D22" w:rsidRDefault="00700518" w:rsidP="00814575">
      <w:pPr>
        <w:spacing w:line="259" w:lineRule="auto"/>
        <w:jc w:val="left"/>
        <w:rPr>
          <w:b/>
          <w:bCs/>
          <w:szCs w:val="24"/>
        </w:rPr>
      </w:pPr>
      <w:r>
        <w:rPr>
          <w:i/>
          <w:iCs/>
          <w:szCs w:val="24"/>
        </w:rPr>
        <w:br w:type="page"/>
      </w:r>
      <w:r w:rsidR="00F56D22" w:rsidRPr="00F56D22">
        <w:rPr>
          <w:b/>
          <w:bCs/>
          <w:szCs w:val="24"/>
        </w:rPr>
        <w:lastRenderedPageBreak/>
        <w:t xml:space="preserve">Apbūvei </w:t>
      </w:r>
      <w:r w:rsidR="000A5840">
        <w:rPr>
          <w:b/>
          <w:bCs/>
          <w:szCs w:val="24"/>
        </w:rPr>
        <w:t>p</w:t>
      </w:r>
      <w:r w:rsidR="006C080A">
        <w:rPr>
          <w:b/>
          <w:bCs/>
          <w:szCs w:val="24"/>
        </w:rPr>
        <w:t>aredzēta</w:t>
      </w:r>
      <w:r w:rsidR="000A5840">
        <w:rPr>
          <w:b/>
          <w:bCs/>
          <w:szCs w:val="24"/>
        </w:rPr>
        <w:t xml:space="preserve"> </w:t>
      </w:r>
      <w:r w:rsidR="00F56D22" w:rsidRPr="00F56D22">
        <w:rPr>
          <w:b/>
          <w:bCs/>
          <w:szCs w:val="24"/>
        </w:rPr>
        <w:t>zeme</w:t>
      </w:r>
      <w:r w:rsidR="000A5840">
        <w:rPr>
          <w:b/>
          <w:bCs/>
          <w:szCs w:val="24"/>
        </w:rPr>
        <w:t>.</w:t>
      </w:r>
    </w:p>
    <w:p w14:paraId="523859D6" w14:textId="3CC1BE36" w:rsidR="00C04A70" w:rsidRDefault="006C080A" w:rsidP="006C080A">
      <w:pPr>
        <w:spacing w:after="0" w:line="276" w:lineRule="auto"/>
      </w:pPr>
      <w:r>
        <w:t xml:space="preserve">Ar atzīmi “Paredzēts apbūvei” plānots </w:t>
      </w:r>
      <w:r w:rsidR="0024756A">
        <w:t xml:space="preserve">identificēt lielu platību </w:t>
      </w:r>
      <w:r w:rsidR="0016284F">
        <w:t xml:space="preserve">virs 3 ha </w:t>
      </w:r>
      <w:r w:rsidR="004F5733">
        <w:t xml:space="preserve">neapbūvētas </w:t>
      </w:r>
      <w:r w:rsidR="0024756A">
        <w:t xml:space="preserve">zemes </w:t>
      </w:r>
      <w:r w:rsidR="0016284F">
        <w:t>vienības, kas atrodas dzīvojamās, jaukta centra, publiskās un ražošanas apbūves funkcionālās zonās, kurā</w:t>
      </w:r>
      <w:r w:rsidR="004F5733">
        <w:t>m nekustamo īpašumu tirgū vērtība nav tāda pati kā ar detālplānojumu un izbūvētām komunikācijām saparcelētiem zemesgabaliem.</w:t>
      </w:r>
      <w:r w:rsidR="004C507F">
        <w:t xml:space="preserve"> </w:t>
      </w:r>
      <w:r w:rsidR="004F5733">
        <w:t>Kadastrālās vērtības diferencēšana būs izvērtējama valstī 1670 zemes vienībām</w:t>
      </w:r>
      <w:r w:rsidR="004C507F">
        <w:t xml:space="preserve"> ar platību virs 3ha</w:t>
      </w:r>
      <w:r w:rsidR="004F5733">
        <w:t xml:space="preserve">, kurām </w:t>
      </w:r>
      <w:r w:rsidR="004C507F">
        <w:t xml:space="preserve">kadastrā reģistrēti lauku grupas lietošanas mērķi (lauksaimniecība, mežsaimniecība, ūdenssaimniecība, dabas pamatnes).  </w:t>
      </w:r>
    </w:p>
    <w:p w14:paraId="2C9979B9" w14:textId="59B439A8" w:rsidR="0055557C" w:rsidRDefault="00DF71AD" w:rsidP="0055557C">
      <w:pPr>
        <w:ind w:firstLine="720"/>
        <w:jc w:val="right"/>
      </w:pPr>
      <w:r>
        <w:t>5</w:t>
      </w:r>
      <w:r w:rsidR="0055557C">
        <w:t>. tabula</w:t>
      </w:r>
    </w:p>
    <w:p w14:paraId="7214D0FF" w14:textId="270F9A56" w:rsidR="000872B3" w:rsidRDefault="000872B3" w:rsidP="000872B3">
      <w:pPr>
        <w:spacing w:line="276" w:lineRule="auto"/>
        <w:jc w:val="center"/>
      </w:pPr>
      <w:r w:rsidRPr="00BD4552">
        <w:t>Zemes vienību skaits pēc lielākā NĪLM</w:t>
      </w:r>
      <w:r>
        <w:t xml:space="preserve"> (lauksaimniecība, mežsaimniecība</w:t>
      </w:r>
      <w:r>
        <w:t>, ūdenssaimniecība, dabas pamatnes</w:t>
      </w:r>
      <w:r>
        <w:t>) un platīb</w:t>
      </w:r>
      <w:r>
        <w:t>as virs 3 ha</w:t>
      </w:r>
      <w:r w:rsidRPr="00BD4552">
        <w:t xml:space="preserve"> apbūves funkcionālās zonās</w:t>
      </w:r>
    </w:p>
    <w:tbl>
      <w:tblPr>
        <w:tblW w:w="9418" w:type="dxa"/>
        <w:tblInd w:w="-294" w:type="dxa"/>
        <w:tblLook w:val="04A0" w:firstRow="1" w:lastRow="0" w:firstColumn="1" w:lastColumn="0" w:noHBand="0" w:noVBand="1"/>
      </w:tblPr>
      <w:tblGrid>
        <w:gridCol w:w="3686"/>
        <w:gridCol w:w="1371"/>
        <w:gridCol w:w="1039"/>
        <w:gridCol w:w="1134"/>
        <w:gridCol w:w="1156"/>
        <w:gridCol w:w="1032"/>
      </w:tblGrid>
      <w:tr w:rsidR="0064286E" w:rsidRPr="00814575" w14:paraId="0CE48F6D" w14:textId="77777777" w:rsidTr="006C080A">
        <w:trPr>
          <w:trHeight w:val="300"/>
        </w:trPr>
        <w:tc>
          <w:tcPr>
            <w:tcW w:w="36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1CD2960"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Funkcionālā zona</w:t>
            </w:r>
          </w:p>
        </w:tc>
        <w:tc>
          <w:tcPr>
            <w:tcW w:w="1371" w:type="dxa"/>
            <w:tcBorders>
              <w:top w:val="single" w:sz="8" w:space="0" w:color="auto"/>
              <w:left w:val="nil"/>
              <w:bottom w:val="single" w:sz="8" w:space="0" w:color="auto"/>
              <w:right w:val="single" w:sz="4" w:space="0" w:color="auto"/>
            </w:tcBorders>
            <w:shd w:val="clear" w:color="auto" w:fill="auto"/>
            <w:noWrap/>
            <w:vAlign w:val="bottom"/>
            <w:hideMark/>
          </w:tcPr>
          <w:p w14:paraId="26B921B7"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proofErr w:type="spellStart"/>
            <w:r w:rsidRPr="00814575">
              <w:rPr>
                <w:rFonts w:eastAsia="Times New Roman" w:cs="Times New Roman"/>
                <w:b/>
                <w:bCs/>
                <w:color w:val="000000"/>
                <w:sz w:val="20"/>
                <w:szCs w:val="20"/>
                <w:lang w:eastAsia="lv-LV"/>
              </w:rPr>
              <w:t>Valstspilsēta</w:t>
            </w:r>
            <w:proofErr w:type="spellEnd"/>
          </w:p>
        </w:tc>
        <w:tc>
          <w:tcPr>
            <w:tcW w:w="1039" w:type="dxa"/>
            <w:tcBorders>
              <w:top w:val="single" w:sz="8" w:space="0" w:color="auto"/>
              <w:left w:val="nil"/>
              <w:bottom w:val="single" w:sz="8" w:space="0" w:color="auto"/>
              <w:right w:val="single" w:sz="4" w:space="0" w:color="auto"/>
            </w:tcBorders>
            <w:shd w:val="clear" w:color="auto" w:fill="auto"/>
            <w:noWrap/>
            <w:vAlign w:val="bottom"/>
            <w:hideMark/>
          </w:tcPr>
          <w:p w14:paraId="274F3B27"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Pilsēta</w:t>
            </w:r>
          </w:p>
        </w:tc>
        <w:tc>
          <w:tcPr>
            <w:tcW w:w="1134" w:type="dxa"/>
            <w:tcBorders>
              <w:top w:val="single" w:sz="8" w:space="0" w:color="auto"/>
              <w:left w:val="nil"/>
              <w:bottom w:val="single" w:sz="8" w:space="0" w:color="auto"/>
              <w:right w:val="single" w:sz="4" w:space="0" w:color="auto"/>
            </w:tcBorders>
            <w:shd w:val="clear" w:color="auto" w:fill="auto"/>
            <w:noWrap/>
            <w:vAlign w:val="bottom"/>
            <w:hideMark/>
          </w:tcPr>
          <w:p w14:paraId="259D208F" w14:textId="0A60A6F9"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Ciems</w:t>
            </w:r>
            <w:r w:rsidR="00BA2E99">
              <w:rPr>
                <w:rFonts w:eastAsia="Times New Roman" w:cs="Times New Roman"/>
                <w:b/>
                <w:bCs/>
                <w:color w:val="000000"/>
                <w:sz w:val="20"/>
                <w:szCs w:val="20"/>
                <w:lang w:eastAsia="lv-LV"/>
              </w:rPr>
              <w:t xml:space="preserve"> *</w:t>
            </w:r>
          </w:p>
        </w:tc>
        <w:tc>
          <w:tcPr>
            <w:tcW w:w="1156" w:type="dxa"/>
            <w:tcBorders>
              <w:top w:val="single" w:sz="8" w:space="0" w:color="auto"/>
              <w:left w:val="nil"/>
              <w:bottom w:val="single" w:sz="8" w:space="0" w:color="auto"/>
              <w:right w:val="nil"/>
            </w:tcBorders>
            <w:shd w:val="clear" w:color="auto" w:fill="auto"/>
            <w:noWrap/>
            <w:vAlign w:val="bottom"/>
            <w:hideMark/>
          </w:tcPr>
          <w:p w14:paraId="17F6DC2D"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Lauku teritorija</w:t>
            </w:r>
          </w:p>
        </w:tc>
        <w:tc>
          <w:tcPr>
            <w:tcW w:w="103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4697619"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Kopā</w:t>
            </w:r>
          </w:p>
        </w:tc>
      </w:tr>
      <w:tr w:rsidR="0064286E" w:rsidRPr="00814575" w14:paraId="029024EF" w14:textId="77777777" w:rsidTr="006C080A">
        <w:trPr>
          <w:trHeight w:val="290"/>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14:paraId="375F0344" w14:textId="77777777" w:rsidR="0064286E" w:rsidRPr="00814575" w:rsidRDefault="0064286E" w:rsidP="0064286E">
            <w:pPr>
              <w:spacing w:after="0" w:line="240" w:lineRule="auto"/>
              <w:jc w:val="left"/>
              <w:rPr>
                <w:rFonts w:eastAsia="Times New Roman" w:cs="Times New Roman"/>
                <w:color w:val="000000"/>
                <w:sz w:val="20"/>
                <w:szCs w:val="20"/>
                <w:lang w:eastAsia="lv-LV"/>
              </w:rPr>
            </w:pPr>
            <w:r w:rsidRPr="00814575">
              <w:rPr>
                <w:rFonts w:eastAsia="Times New Roman" w:cs="Times New Roman"/>
                <w:color w:val="000000"/>
                <w:sz w:val="20"/>
                <w:szCs w:val="20"/>
                <w:lang w:eastAsia="lv-LV"/>
              </w:rPr>
              <w:t>Savrupmāju apbūves teritorija</w:t>
            </w:r>
          </w:p>
        </w:tc>
        <w:tc>
          <w:tcPr>
            <w:tcW w:w="1371" w:type="dxa"/>
            <w:tcBorders>
              <w:top w:val="nil"/>
              <w:left w:val="nil"/>
              <w:bottom w:val="single" w:sz="4" w:space="0" w:color="auto"/>
              <w:right w:val="single" w:sz="4" w:space="0" w:color="auto"/>
            </w:tcBorders>
            <w:shd w:val="clear" w:color="auto" w:fill="auto"/>
            <w:noWrap/>
            <w:vAlign w:val="bottom"/>
            <w:hideMark/>
          </w:tcPr>
          <w:p w14:paraId="530D2A28"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27</w:t>
            </w:r>
          </w:p>
        </w:tc>
        <w:tc>
          <w:tcPr>
            <w:tcW w:w="1039" w:type="dxa"/>
            <w:tcBorders>
              <w:top w:val="nil"/>
              <w:left w:val="nil"/>
              <w:bottom w:val="single" w:sz="4" w:space="0" w:color="auto"/>
              <w:right w:val="single" w:sz="4" w:space="0" w:color="auto"/>
            </w:tcBorders>
            <w:shd w:val="clear" w:color="auto" w:fill="auto"/>
            <w:noWrap/>
            <w:vAlign w:val="bottom"/>
            <w:hideMark/>
          </w:tcPr>
          <w:p w14:paraId="3B17344C"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43</w:t>
            </w:r>
          </w:p>
        </w:tc>
        <w:tc>
          <w:tcPr>
            <w:tcW w:w="1134" w:type="dxa"/>
            <w:tcBorders>
              <w:top w:val="nil"/>
              <w:left w:val="nil"/>
              <w:bottom w:val="single" w:sz="4" w:space="0" w:color="auto"/>
              <w:right w:val="single" w:sz="4" w:space="0" w:color="auto"/>
            </w:tcBorders>
            <w:shd w:val="clear" w:color="auto" w:fill="auto"/>
            <w:noWrap/>
            <w:vAlign w:val="bottom"/>
            <w:hideMark/>
          </w:tcPr>
          <w:p w14:paraId="043E1371"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320</w:t>
            </w:r>
          </w:p>
        </w:tc>
        <w:tc>
          <w:tcPr>
            <w:tcW w:w="1156" w:type="dxa"/>
            <w:tcBorders>
              <w:top w:val="nil"/>
              <w:left w:val="nil"/>
              <w:bottom w:val="single" w:sz="4" w:space="0" w:color="auto"/>
              <w:right w:val="nil"/>
            </w:tcBorders>
            <w:shd w:val="clear" w:color="auto" w:fill="auto"/>
            <w:noWrap/>
            <w:vAlign w:val="bottom"/>
            <w:hideMark/>
          </w:tcPr>
          <w:p w14:paraId="5C7C82A2"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154</w:t>
            </w:r>
          </w:p>
        </w:tc>
        <w:tc>
          <w:tcPr>
            <w:tcW w:w="1032" w:type="dxa"/>
            <w:tcBorders>
              <w:top w:val="nil"/>
              <w:left w:val="single" w:sz="8" w:space="0" w:color="auto"/>
              <w:bottom w:val="single" w:sz="4" w:space="0" w:color="auto"/>
              <w:right w:val="single" w:sz="8" w:space="0" w:color="auto"/>
            </w:tcBorders>
            <w:shd w:val="clear" w:color="auto" w:fill="auto"/>
            <w:noWrap/>
            <w:vAlign w:val="bottom"/>
            <w:hideMark/>
          </w:tcPr>
          <w:p w14:paraId="2FAC5D9D"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544</w:t>
            </w:r>
          </w:p>
        </w:tc>
      </w:tr>
      <w:tr w:rsidR="0064286E" w:rsidRPr="00814575" w14:paraId="78D3BE56" w14:textId="77777777" w:rsidTr="006C080A">
        <w:trPr>
          <w:trHeight w:val="290"/>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14:paraId="6EE59094" w14:textId="77777777" w:rsidR="0064286E" w:rsidRPr="00814575" w:rsidRDefault="0064286E" w:rsidP="0064286E">
            <w:pPr>
              <w:spacing w:after="0" w:line="240" w:lineRule="auto"/>
              <w:jc w:val="left"/>
              <w:rPr>
                <w:rFonts w:eastAsia="Times New Roman" w:cs="Times New Roman"/>
                <w:color w:val="000000"/>
                <w:sz w:val="20"/>
                <w:szCs w:val="20"/>
                <w:lang w:eastAsia="lv-LV"/>
              </w:rPr>
            </w:pPr>
            <w:proofErr w:type="spellStart"/>
            <w:r w:rsidRPr="00814575">
              <w:rPr>
                <w:rFonts w:eastAsia="Times New Roman" w:cs="Times New Roman"/>
                <w:color w:val="000000"/>
                <w:sz w:val="20"/>
                <w:szCs w:val="20"/>
                <w:lang w:eastAsia="lv-LV"/>
              </w:rPr>
              <w:t>Mazstāvu</w:t>
            </w:r>
            <w:proofErr w:type="spellEnd"/>
            <w:r w:rsidRPr="00814575">
              <w:rPr>
                <w:rFonts w:eastAsia="Times New Roman" w:cs="Times New Roman"/>
                <w:color w:val="000000"/>
                <w:sz w:val="20"/>
                <w:szCs w:val="20"/>
                <w:lang w:eastAsia="lv-LV"/>
              </w:rPr>
              <w:t xml:space="preserve"> dzīvojamās apbūves teritorija</w:t>
            </w:r>
          </w:p>
        </w:tc>
        <w:tc>
          <w:tcPr>
            <w:tcW w:w="1371" w:type="dxa"/>
            <w:tcBorders>
              <w:top w:val="nil"/>
              <w:left w:val="nil"/>
              <w:bottom w:val="single" w:sz="4" w:space="0" w:color="auto"/>
              <w:right w:val="single" w:sz="4" w:space="0" w:color="auto"/>
            </w:tcBorders>
            <w:shd w:val="clear" w:color="auto" w:fill="auto"/>
            <w:noWrap/>
            <w:vAlign w:val="bottom"/>
            <w:hideMark/>
          </w:tcPr>
          <w:p w14:paraId="77E880F7"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6</w:t>
            </w:r>
          </w:p>
        </w:tc>
        <w:tc>
          <w:tcPr>
            <w:tcW w:w="1039" w:type="dxa"/>
            <w:tcBorders>
              <w:top w:val="nil"/>
              <w:left w:val="nil"/>
              <w:bottom w:val="single" w:sz="4" w:space="0" w:color="auto"/>
              <w:right w:val="single" w:sz="4" w:space="0" w:color="auto"/>
            </w:tcBorders>
            <w:shd w:val="clear" w:color="auto" w:fill="auto"/>
            <w:noWrap/>
            <w:vAlign w:val="bottom"/>
            <w:hideMark/>
          </w:tcPr>
          <w:p w14:paraId="2DA87699"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47</w:t>
            </w:r>
          </w:p>
        </w:tc>
        <w:tc>
          <w:tcPr>
            <w:tcW w:w="1134" w:type="dxa"/>
            <w:tcBorders>
              <w:top w:val="nil"/>
              <w:left w:val="nil"/>
              <w:bottom w:val="single" w:sz="4" w:space="0" w:color="auto"/>
              <w:right w:val="single" w:sz="4" w:space="0" w:color="auto"/>
            </w:tcBorders>
            <w:shd w:val="clear" w:color="auto" w:fill="auto"/>
            <w:noWrap/>
            <w:vAlign w:val="bottom"/>
            <w:hideMark/>
          </w:tcPr>
          <w:p w14:paraId="32DA9098"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70</w:t>
            </w:r>
          </w:p>
        </w:tc>
        <w:tc>
          <w:tcPr>
            <w:tcW w:w="1156" w:type="dxa"/>
            <w:tcBorders>
              <w:top w:val="nil"/>
              <w:left w:val="nil"/>
              <w:bottom w:val="single" w:sz="4" w:space="0" w:color="auto"/>
              <w:right w:val="nil"/>
            </w:tcBorders>
            <w:shd w:val="clear" w:color="auto" w:fill="auto"/>
            <w:noWrap/>
            <w:vAlign w:val="bottom"/>
            <w:hideMark/>
          </w:tcPr>
          <w:p w14:paraId="05E9D5DD"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31</w:t>
            </w:r>
          </w:p>
        </w:tc>
        <w:tc>
          <w:tcPr>
            <w:tcW w:w="1032" w:type="dxa"/>
            <w:tcBorders>
              <w:top w:val="nil"/>
              <w:left w:val="single" w:sz="8" w:space="0" w:color="auto"/>
              <w:bottom w:val="single" w:sz="4" w:space="0" w:color="auto"/>
              <w:right w:val="single" w:sz="8" w:space="0" w:color="auto"/>
            </w:tcBorders>
            <w:shd w:val="clear" w:color="auto" w:fill="auto"/>
            <w:noWrap/>
            <w:vAlign w:val="bottom"/>
            <w:hideMark/>
          </w:tcPr>
          <w:p w14:paraId="76BE2D10"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154</w:t>
            </w:r>
          </w:p>
        </w:tc>
      </w:tr>
      <w:tr w:rsidR="0064286E" w:rsidRPr="00814575" w14:paraId="3F744EAA" w14:textId="77777777" w:rsidTr="006C080A">
        <w:trPr>
          <w:trHeight w:val="290"/>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14:paraId="6E39EF70" w14:textId="77777777" w:rsidR="0064286E" w:rsidRPr="00814575" w:rsidRDefault="0064286E" w:rsidP="0064286E">
            <w:pPr>
              <w:spacing w:after="0" w:line="240" w:lineRule="auto"/>
              <w:jc w:val="left"/>
              <w:rPr>
                <w:rFonts w:eastAsia="Times New Roman" w:cs="Times New Roman"/>
                <w:color w:val="000000"/>
                <w:sz w:val="20"/>
                <w:szCs w:val="20"/>
                <w:lang w:eastAsia="lv-LV"/>
              </w:rPr>
            </w:pPr>
            <w:r w:rsidRPr="00814575">
              <w:rPr>
                <w:rFonts w:eastAsia="Times New Roman" w:cs="Times New Roman"/>
                <w:color w:val="000000"/>
                <w:sz w:val="20"/>
                <w:szCs w:val="20"/>
                <w:lang w:eastAsia="lv-LV"/>
              </w:rPr>
              <w:t>Daudzstāvu dzīvojamās apbūves teritorija</w:t>
            </w:r>
          </w:p>
        </w:tc>
        <w:tc>
          <w:tcPr>
            <w:tcW w:w="1371" w:type="dxa"/>
            <w:tcBorders>
              <w:top w:val="nil"/>
              <w:left w:val="nil"/>
              <w:bottom w:val="single" w:sz="4" w:space="0" w:color="auto"/>
              <w:right w:val="single" w:sz="4" w:space="0" w:color="auto"/>
            </w:tcBorders>
            <w:shd w:val="clear" w:color="auto" w:fill="auto"/>
            <w:noWrap/>
            <w:vAlign w:val="bottom"/>
            <w:hideMark/>
          </w:tcPr>
          <w:p w14:paraId="3FA381D1"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w:t>
            </w:r>
          </w:p>
        </w:tc>
        <w:tc>
          <w:tcPr>
            <w:tcW w:w="1039" w:type="dxa"/>
            <w:tcBorders>
              <w:top w:val="nil"/>
              <w:left w:val="nil"/>
              <w:bottom w:val="single" w:sz="4" w:space="0" w:color="auto"/>
              <w:right w:val="single" w:sz="4" w:space="0" w:color="auto"/>
            </w:tcBorders>
            <w:shd w:val="clear" w:color="auto" w:fill="auto"/>
            <w:noWrap/>
            <w:vAlign w:val="bottom"/>
            <w:hideMark/>
          </w:tcPr>
          <w:p w14:paraId="7EB7F894"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3</w:t>
            </w:r>
          </w:p>
        </w:tc>
        <w:tc>
          <w:tcPr>
            <w:tcW w:w="1134" w:type="dxa"/>
            <w:tcBorders>
              <w:top w:val="nil"/>
              <w:left w:val="nil"/>
              <w:bottom w:val="single" w:sz="4" w:space="0" w:color="auto"/>
              <w:right w:val="single" w:sz="4" w:space="0" w:color="auto"/>
            </w:tcBorders>
            <w:shd w:val="clear" w:color="auto" w:fill="auto"/>
            <w:noWrap/>
            <w:vAlign w:val="bottom"/>
            <w:hideMark/>
          </w:tcPr>
          <w:p w14:paraId="72C834CE"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4</w:t>
            </w:r>
          </w:p>
        </w:tc>
        <w:tc>
          <w:tcPr>
            <w:tcW w:w="1156" w:type="dxa"/>
            <w:tcBorders>
              <w:top w:val="nil"/>
              <w:left w:val="nil"/>
              <w:bottom w:val="single" w:sz="4" w:space="0" w:color="auto"/>
              <w:right w:val="nil"/>
            </w:tcBorders>
            <w:shd w:val="clear" w:color="auto" w:fill="auto"/>
            <w:noWrap/>
            <w:vAlign w:val="bottom"/>
            <w:hideMark/>
          </w:tcPr>
          <w:p w14:paraId="059ECA89"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w:t>
            </w:r>
          </w:p>
        </w:tc>
        <w:tc>
          <w:tcPr>
            <w:tcW w:w="1032" w:type="dxa"/>
            <w:tcBorders>
              <w:top w:val="nil"/>
              <w:left w:val="single" w:sz="8" w:space="0" w:color="auto"/>
              <w:bottom w:val="single" w:sz="4" w:space="0" w:color="auto"/>
              <w:right w:val="single" w:sz="8" w:space="0" w:color="auto"/>
            </w:tcBorders>
            <w:shd w:val="clear" w:color="auto" w:fill="auto"/>
            <w:noWrap/>
            <w:vAlign w:val="bottom"/>
            <w:hideMark/>
          </w:tcPr>
          <w:p w14:paraId="37CC9B73"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9</w:t>
            </w:r>
          </w:p>
        </w:tc>
      </w:tr>
      <w:tr w:rsidR="0064286E" w:rsidRPr="00814575" w14:paraId="2D9845E6" w14:textId="77777777" w:rsidTr="006C080A">
        <w:trPr>
          <w:trHeight w:val="290"/>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14:paraId="6BFA98F6" w14:textId="77777777" w:rsidR="0064286E" w:rsidRPr="00814575" w:rsidRDefault="0064286E" w:rsidP="0064286E">
            <w:pPr>
              <w:spacing w:after="0" w:line="240" w:lineRule="auto"/>
              <w:jc w:val="left"/>
              <w:rPr>
                <w:rFonts w:eastAsia="Times New Roman" w:cs="Times New Roman"/>
                <w:color w:val="000000"/>
                <w:sz w:val="20"/>
                <w:szCs w:val="20"/>
                <w:lang w:eastAsia="lv-LV"/>
              </w:rPr>
            </w:pPr>
            <w:r w:rsidRPr="00814575">
              <w:rPr>
                <w:rFonts w:eastAsia="Times New Roman" w:cs="Times New Roman"/>
                <w:color w:val="000000"/>
                <w:sz w:val="20"/>
                <w:szCs w:val="20"/>
                <w:lang w:eastAsia="lv-LV"/>
              </w:rPr>
              <w:t>Publiskās apbūves teritorija</w:t>
            </w:r>
          </w:p>
        </w:tc>
        <w:tc>
          <w:tcPr>
            <w:tcW w:w="1371" w:type="dxa"/>
            <w:tcBorders>
              <w:top w:val="nil"/>
              <w:left w:val="nil"/>
              <w:bottom w:val="single" w:sz="4" w:space="0" w:color="auto"/>
              <w:right w:val="single" w:sz="4" w:space="0" w:color="auto"/>
            </w:tcBorders>
            <w:shd w:val="clear" w:color="auto" w:fill="auto"/>
            <w:noWrap/>
            <w:vAlign w:val="bottom"/>
            <w:hideMark/>
          </w:tcPr>
          <w:p w14:paraId="07CB00F8"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8</w:t>
            </w:r>
          </w:p>
        </w:tc>
        <w:tc>
          <w:tcPr>
            <w:tcW w:w="1039" w:type="dxa"/>
            <w:tcBorders>
              <w:top w:val="nil"/>
              <w:left w:val="nil"/>
              <w:bottom w:val="single" w:sz="4" w:space="0" w:color="auto"/>
              <w:right w:val="single" w:sz="4" w:space="0" w:color="auto"/>
            </w:tcBorders>
            <w:shd w:val="clear" w:color="auto" w:fill="auto"/>
            <w:noWrap/>
            <w:vAlign w:val="bottom"/>
            <w:hideMark/>
          </w:tcPr>
          <w:p w14:paraId="11F0D747"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22</w:t>
            </w:r>
          </w:p>
        </w:tc>
        <w:tc>
          <w:tcPr>
            <w:tcW w:w="1134" w:type="dxa"/>
            <w:tcBorders>
              <w:top w:val="nil"/>
              <w:left w:val="nil"/>
              <w:bottom w:val="single" w:sz="4" w:space="0" w:color="auto"/>
              <w:right w:val="single" w:sz="4" w:space="0" w:color="auto"/>
            </w:tcBorders>
            <w:shd w:val="clear" w:color="auto" w:fill="auto"/>
            <w:noWrap/>
            <w:vAlign w:val="bottom"/>
            <w:hideMark/>
          </w:tcPr>
          <w:p w14:paraId="5F7F8693"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37</w:t>
            </w:r>
          </w:p>
        </w:tc>
        <w:tc>
          <w:tcPr>
            <w:tcW w:w="1156" w:type="dxa"/>
            <w:tcBorders>
              <w:top w:val="nil"/>
              <w:left w:val="nil"/>
              <w:bottom w:val="single" w:sz="4" w:space="0" w:color="auto"/>
              <w:right w:val="nil"/>
            </w:tcBorders>
            <w:shd w:val="clear" w:color="auto" w:fill="auto"/>
            <w:noWrap/>
            <w:vAlign w:val="bottom"/>
            <w:hideMark/>
          </w:tcPr>
          <w:p w14:paraId="3A5A8FB1"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40</w:t>
            </w:r>
          </w:p>
        </w:tc>
        <w:tc>
          <w:tcPr>
            <w:tcW w:w="1032" w:type="dxa"/>
            <w:tcBorders>
              <w:top w:val="nil"/>
              <w:left w:val="single" w:sz="8" w:space="0" w:color="auto"/>
              <w:bottom w:val="single" w:sz="4" w:space="0" w:color="auto"/>
              <w:right w:val="single" w:sz="8" w:space="0" w:color="auto"/>
            </w:tcBorders>
            <w:shd w:val="clear" w:color="auto" w:fill="auto"/>
            <w:noWrap/>
            <w:vAlign w:val="bottom"/>
            <w:hideMark/>
          </w:tcPr>
          <w:p w14:paraId="3F474E6B"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107</w:t>
            </w:r>
          </w:p>
        </w:tc>
      </w:tr>
      <w:tr w:rsidR="0064286E" w:rsidRPr="00814575" w14:paraId="2CB3E0CE" w14:textId="77777777" w:rsidTr="006C080A">
        <w:trPr>
          <w:trHeight w:val="290"/>
        </w:trPr>
        <w:tc>
          <w:tcPr>
            <w:tcW w:w="3686" w:type="dxa"/>
            <w:tcBorders>
              <w:top w:val="nil"/>
              <w:left w:val="single" w:sz="8" w:space="0" w:color="auto"/>
              <w:bottom w:val="single" w:sz="4" w:space="0" w:color="auto"/>
              <w:right w:val="single" w:sz="4" w:space="0" w:color="auto"/>
            </w:tcBorders>
            <w:shd w:val="clear" w:color="auto" w:fill="auto"/>
            <w:noWrap/>
            <w:vAlign w:val="bottom"/>
            <w:hideMark/>
          </w:tcPr>
          <w:p w14:paraId="45BE5907" w14:textId="77777777" w:rsidR="0064286E" w:rsidRPr="00814575" w:rsidRDefault="0064286E" w:rsidP="0064286E">
            <w:pPr>
              <w:spacing w:after="0" w:line="240" w:lineRule="auto"/>
              <w:jc w:val="left"/>
              <w:rPr>
                <w:rFonts w:eastAsia="Times New Roman" w:cs="Times New Roman"/>
                <w:color w:val="000000"/>
                <w:sz w:val="20"/>
                <w:szCs w:val="20"/>
                <w:lang w:eastAsia="lv-LV"/>
              </w:rPr>
            </w:pPr>
            <w:r w:rsidRPr="00814575">
              <w:rPr>
                <w:rFonts w:eastAsia="Times New Roman" w:cs="Times New Roman"/>
                <w:color w:val="000000"/>
                <w:sz w:val="20"/>
                <w:szCs w:val="20"/>
                <w:lang w:eastAsia="lv-LV"/>
              </w:rPr>
              <w:t>Jauktas centra apbūves teritorija</w:t>
            </w:r>
          </w:p>
        </w:tc>
        <w:tc>
          <w:tcPr>
            <w:tcW w:w="1371" w:type="dxa"/>
            <w:tcBorders>
              <w:top w:val="nil"/>
              <w:left w:val="nil"/>
              <w:bottom w:val="single" w:sz="4" w:space="0" w:color="auto"/>
              <w:right w:val="single" w:sz="4" w:space="0" w:color="auto"/>
            </w:tcBorders>
            <w:shd w:val="clear" w:color="auto" w:fill="auto"/>
            <w:noWrap/>
            <w:vAlign w:val="bottom"/>
            <w:hideMark/>
          </w:tcPr>
          <w:p w14:paraId="326A3E88"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24</w:t>
            </w:r>
          </w:p>
        </w:tc>
        <w:tc>
          <w:tcPr>
            <w:tcW w:w="1039" w:type="dxa"/>
            <w:tcBorders>
              <w:top w:val="nil"/>
              <w:left w:val="nil"/>
              <w:bottom w:val="single" w:sz="4" w:space="0" w:color="auto"/>
              <w:right w:val="single" w:sz="4" w:space="0" w:color="auto"/>
            </w:tcBorders>
            <w:shd w:val="clear" w:color="auto" w:fill="auto"/>
            <w:noWrap/>
            <w:vAlign w:val="bottom"/>
            <w:hideMark/>
          </w:tcPr>
          <w:p w14:paraId="30EDAAD8"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34</w:t>
            </w:r>
          </w:p>
        </w:tc>
        <w:tc>
          <w:tcPr>
            <w:tcW w:w="1134" w:type="dxa"/>
            <w:tcBorders>
              <w:top w:val="nil"/>
              <w:left w:val="nil"/>
              <w:bottom w:val="single" w:sz="4" w:space="0" w:color="auto"/>
              <w:right w:val="single" w:sz="4" w:space="0" w:color="auto"/>
            </w:tcBorders>
            <w:shd w:val="clear" w:color="auto" w:fill="auto"/>
            <w:noWrap/>
            <w:vAlign w:val="bottom"/>
            <w:hideMark/>
          </w:tcPr>
          <w:p w14:paraId="28BFE63B"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56</w:t>
            </w:r>
          </w:p>
        </w:tc>
        <w:tc>
          <w:tcPr>
            <w:tcW w:w="1156" w:type="dxa"/>
            <w:tcBorders>
              <w:top w:val="nil"/>
              <w:left w:val="nil"/>
              <w:bottom w:val="single" w:sz="4" w:space="0" w:color="auto"/>
              <w:right w:val="nil"/>
            </w:tcBorders>
            <w:shd w:val="clear" w:color="auto" w:fill="auto"/>
            <w:noWrap/>
            <w:vAlign w:val="bottom"/>
            <w:hideMark/>
          </w:tcPr>
          <w:p w14:paraId="64F01D07"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29</w:t>
            </w:r>
          </w:p>
        </w:tc>
        <w:tc>
          <w:tcPr>
            <w:tcW w:w="1032" w:type="dxa"/>
            <w:tcBorders>
              <w:top w:val="nil"/>
              <w:left w:val="single" w:sz="8" w:space="0" w:color="auto"/>
              <w:bottom w:val="single" w:sz="4" w:space="0" w:color="auto"/>
              <w:right w:val="single" w:sz="8" w:space="0" w:color="auto"/>
            </w:tcBorders>
            <w:shd w:val="clear" w:color="auto" w:fill="auto"/>
            <w:noWrap/>
            <w:vAlign w:val="bottom"/>
            <w:hideMark/>
          </w:tcPr>
          <w:p w14:paraId="6A968D34"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143</w:t>
            </w:r>
          </w:p>
        </w:tc>
      </w:tr>
      <w:tr w:rsidR="0064286E" w:rsidRPr="00814575" w14:paraId="5F6D14CB" w14:textId="77777777" w:rsidTr="006C080A">
        <w:trPr>
          <w:trHeight w:val="300"/>
        </w:trPr>
        <w:tc>
          <w:tcPr>
            <w:tcW w:w="3686" w:type="dxa"/>
            <w:tcBorders>
              <w:top w:val="nil"/>
              <w:left w:val="single" w:sz="8" w:space="0" w:color="auto"/>
              <w:bottom w:val="single" w:sz="8" w:space="0" w:color="auto"/>
              <w:right w:val="single" w:sz="4" w:space="0" w:color="auto"/>
            </w:tcBorders>
            <w:shd w:val="clear" w:color="auto" w:fill="auto"/>
            <w:noWrap/>
            <w:vAlign w:val="bottom"/>
            <w:hideMark/>
          </w:tcPr>
          <w:p w14:paraId="0BC3FB4E" w14:textId="77777777" w:rsidR="0064286E" w:rsidRPr="00814575" w:rsidRDefault="0064286E" w:rsidP="0064286E">
            <w:pPr>
              <w:spacing w:after="0" w:line="240" w:lineRule="auto"/>
              <w:jc w:val="left"/>
              <w:rPr>
                <w:rFonts w:eastAsia="Times New Roman" w:cs="Times New Roman"/>
                <w:color w:val="000000"/>
                <w:sz w:val="20"/>
                <w:szCs w:val="20"/>
                <w:lang w:eastAsia="lv-LV"/>
              </w:rPr>
            </w:pPr>
            <w:r w:rsidRPr="00814575">
              <w:rPr>
                <w:rFonts w:eastAsia="Times New Roman" w:cs="Times New Roman"/>
                <w:color w:val="000000"/>
                <w:sz w:val="20"/>
                <w:szCs w:val="20"/>
                <w:lang w:eastAsia="lv-LV"/>
              </w:rPr>
              <w:t>Rūpnieciskās apbūves teritorija</w:t>
            </w:r>
          </w:p>
        </w:tc>
        <w:tc>
          <w:tcPr>
            <w:tcW w:w="1371" w:type="dxa"/>
            <w:tcBorders>
              <w:top w:val="nil"/>
              <w:left w:val="nil"/>
              <w:bottom w:val="single" w:sz="8" w:space="0" w:color="auto"/>
              <w:right w:val="single" w:sz="4" w:space="0" w:color="auto"/>
            </w:tcBorders>
            <w:shd w:val="clear" w:color="auto" w:fill="auto"/>
            <w:noWrap/>
            <w:vAlign w:val="bottom"/>
            <w:hideMark/>
          </w:tcPr>
          <w:p w14:paraId="788CA936"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18</w:t>
            </w:r>
          </w:p>
        </w:tc>
        <w:tc>
          <w:tcPr>
            <w:tcW w:w="1039" w:type="dxa"/>
            <w:tcBorders>
              <w:top w:val="nil"/>
              <w:left w:val="nil"/>
              <w:bottom w:val="single" w:sz="8" w:space="0" w:color="auto"/>
              <w:right w:val="single" w:sz="4" w:space="0" w:color="auto"/>
            </w:tcBorders>
            <w:shd w:val="clear" w:color="auto" w:fill="auto"/>
            <w:noWrap/>
            <w:vAlign w:val="bottom"/>
            <w:hideMark/>
          </w:tcPr>
          <w:p w14:paraId="47448091"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43</w:t>
            </w:r>
          </w:p>
        </w:tc>
        <w:tc>
          <w:tcPr>
            <w:tcW w:w="1134" w:type="dxa"/>
            <w:tcBorders>
              <w:top w:val="nil"/>
              <w:left w:val="nil"/>
              <w:bottom w:val="single" w:sz="8" w:space="0" w:color="auto"/>
              <w:right w:val="single" w:sz="4" w:space="0" w:color="auto"/>
            </w:tcBorders>
            <w:shd w:val="clear" w:color="auto" w:fill="auto"/>
            <w:noWrap/>
            <w:vAlign w:val="bottom"/>
            <w:hideMark/>
          </w:tcPr>
          <w:p w14:paraId="2A050F92"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115</w:t>
            </w:r>
          </w:p>
        </w:tc>
        <w:tc>
          <w:tcPr>
            <w:tcW w:w="1156" w:type="dxa"/>
            <w:tcBorders>
              <w:top w:val="nil"/>
              <w:left w:val="nil"/>
              <w:bottom w:val="single" w:sz="8" w:space="0" w:color="auto"/>
              <w:right w:val="nil"/>
            </w:tcBorders>
            <w:shd w:val="clear" w:color="auto" w:fill="auto"/>
            <w:noWrap/>
            <w:vAlign w:val="bottom"/>
            <w:hideMark/>
          </w:tcPr>
          <w:p w14:paraId="1F33262A"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537</w:t>
            </w:r>
          </w:p>
        </w:tc>
        <w:tc>
          <w:tcPr>
            <w:tcW w:w="1032" w:type="dxa"/>
            <w:tcBorders>
              <w:top w:val="nil"/>
              <w:left w:val="single" w:sz="8" w:space="0" w:color="auto"/>
              <w:bottom w:val="single" w:sz="8" w:space="0" w:color="auto"/>
              <w:right w:val="single" w:sz="8" w:space="0" w:color="auto"/>
            </w:tcBorders>
            <w:shd w:val="clear" w:color="auto" w:fill="auto"/>
            <w:noWrap/>
            <w:vAlign w:val="bottom"/>
            <w:hideMark/>
          </w:tcPr>
          <w:p w14:paraId="084BCFBC" w14:textId="77777777" w:rsidR="0064286E" w:rsidRPr="00814575" w:rsidRDefault="0064286E" w:rsidP="0064286E">
            <w:pPr>
              <w:spacing w:after="0" w:line="240" w:lineRule="auto"/>
              <w:jc w:val="center"/>
              <w:rPr>
                <w:rFonts w:eastAsia="Times New Roman" w:cs="Times New Roman"/>
                <w:color w:val="000000"/>
                <w:sz w:val="20"/>
                <w:szCs w:val="20"/>
                <w:lang w:eastAsia="lv-LV"/>
              </w:rPr>
            </w:pPr>
            <w:r w:rsidRPr="00814575">
              <w:rPr>
                <w:rFonts w:eastAsia="Times New Roman" w:cs="Times New Roman"/>
                <w:color w:val="000000"/>
                <w:sz w:val="20"/>
                <w:szCs w:val="20"/>
                <w:lang w:eastAsia="lv-LV"/>
              </w:rPr>
              <w:t>713</w:t>
            </w:r>
          </w:p>
        </w:tc>
      </w:tr>
      <w:tr w:rsidR="0064286E" w:rsidRPr="00814575" w14:paraId="5A550E92" w14:textId="77777777" w:rsidTr="006C080A">
        <w:trPr>
          <w:trHeight w:val="300"/>
        </w:trPr>
        <w:tc>
          <w:tcPr>
            <w:tcW w:w="3686" w:type="dxa"/>
            <w:tcBorders>
              <w:top w:val="nil"/>
              <w:left w:val="single" w:sz="8" w:space="0" w:color="auto"/>
              <w:bottom w:val="single" w:sz="8" w:space="0" w:color="auto"/>
              <w:right w:val="single" w:sz="4" w:space="0" w:color="auto"/>
            </w:tcBorders>
            <w:shd w:val="clear" w:color="auto" w:fill="auto"/>
            <w:noWrap/>
            <w:vAlign w:val="bottom"/>
            <w:hideMark/>
          </w:tcPr>
          <w:p w14:paraId="76C3A41B"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Kopā</w:t>
            </w:r>
          </w:p>
        </w:tc>
        <w:tc>
          <w:tcPr>
            <w:tcW w:w="1371" w:type="dxa"/>
            <w:tcBorders>
              <w:top w:val="nil"/>
              <w:left w:val="nil"/>
              <w:bottom w:val="single" w:sz="8" w:space="0" w:color="auto"/>
              <w:right w:val="single" w:sz="4" w:space="0" w:color="auto"/>
            </w:tcBorders>
            <w:shd w:val="clear" w:color="auto" w:fill="auto"/>
            <w:noWrap/>
            <w:vAlign w:val="bottom"/>
            <w:hideMark/>
          </w:tcPr>
          <w:p w14:paraId="4A7BA362"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84</w:t>
            </w:r>
          </w:p>
        </w:tc>
        <w:tc>
          <w:tcPr>
            <w:tcW w:w="1039" w:type="dxa"/>
            <w:tcBorders>
              <w:top w:val="nil"/>
              <w:left w:val="nil"/>
              <w:bottom w:val="single" w:sz="8" w:space="0" w:color="auto"/>
              <w:right w:val="single" w:sz="4" w:space="0" w:color="auto"/>
            </w:tcBorders>
            <w:shd w:val="clear" w:color="auto" w:fill="auto"/>
            <w:noWrap/>
            <w:vAlign w:val="bottom"/>
            <w:hideMark/>
          </w:tcPr>
          <w:p w14:paraId="0437BEF2"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192</w:t>
            </w:r>
          </w:p>
        </w:tc>
        <w:tc>
          <w:tcPr>
            <w:tcW w:w="1134" w:type="dxa"/>
            <w:tcBorders>
              <w:top w:val="nil"/>
              <w:left w:val="nil"/>
              <w:bottom w:val="single" w:sz="8" w:space="0" w:color="auto"/>
              <w:right w:val="single" w:sz="4" w:space="0" w:color="auto"/>
            </w:tcBorders>
            <w:shd w:val="clear" w:color="auto" w:fill="auto"/>
            <w:noWrap/>
            <w:vAlign w:val="bottom"/>
            <w:hideMark/>
          </w:tcPr>
          <w:p w14:paraId="69A5034F"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602</w:t>
            </w:r>
          </w:p>
        </w:tc>
        <w:tc>
          <w:tcPr>
            <w:tcW w:w="1156" w:type="dxa"/>
            <w:tcBorders>
              <w:top w:val="nil"/>
              <w:left w:val="nil"/>
              <w:bottom w:val="single" w:sz="8" w:space="0" w:color="auto"/>
              <w:right w:val="nil"/>
            </w:tcBorders>
            <w:shd w:val="clear" w:color="auto" w:fill="auto"/>
            <w:noWrap/>
            <w:vAlign w:val="bottom"/>
            <w:hideMark/>
          </w:tcPr>
          <w:p w14:paraId="7A7CCCC8"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792</w:t>
            </w:r>
          </w:p>
        </w:tc>
        <w:tc>
          <w:tcPr>
            <w:tcW w:w="1032" w:type="dxa"/>
            <w:tcBorders>
              <w:top w:val="nil"/>
              <w:left w:val="single" w:sz="8" w:space="0" w:color="auto"/>
              <w:bottom w:val="single" w:sz="8" w:space="0" w:color="auto"/>
              <w:right w:val="single" w:sz="8" w:space="0" w:color="auto"/>
            </w:tcBorders>
            <w:shd w:val="clear" w:color="auto" w:fill="auto"/>
            <w:noWrap/>
            <w:vAlign w:val="bottom"/>
            <w:hideMark/>
          </w:tcPr>
          <w:p w14:paraId="20C901C1" w14:textId="77777777" w:rsidR="0064286E" w:rsidRPr="00814575" w:rsidRDefault="0064286E" w:rsidP="0064286E">
            <w:pPr>
              <w:spacing w:after="0" w:line="240" w:lineRule="auto"/>
              <w:jc w:val="center"/>
              <w:rPr>
                <w:rFonts w:eastAsia="Times New Roman" w:cs="Times New Roman"/>
                <w:b/>
                <w:bCs/>
                <w:color w:val="000000"/>
                <w:sz w:val="20"/>
                <w:szCs w:val="20"/>
                <w:lang w:eastAsia="lv-LV"/>
              </w:rPr>
            </w:pPr>
            <w:r w:rsidRPr="00814575">
              <w:rPr>
                <w:rFonts w:eastAsia="Times New Roman" w:cs="Times New Roman"/>
                <w:b/>
                <w:bCs/>
                <w:color w:val="000000"/>
                <w:sz w:val="20"/>
                <w:szCs w:val="20"/>
                <w:lang w:eastAsia="lv-LV"/>
              </w:rPr>
              <w:t>1670</w:t>
            </w:r>
          </w:p>
        </w:tc>
      </w:tr>
    </w:tbl>
    <w:p w14:paraId="507CB857" w14:textId="0C4C7264" w:rsidR="00E9176A" w:rsidRPr="00E9176A" w:rsidRDefault="00E9176A" w:rsidP="00E9176A">
      <w:pPr>
        <w:spacing w:before="120" w:after="120" w:line="264" w:lineRule="auto"/>
        <w:rPr>
          <w:i/>
          <w:iCs/>
          <w:sz w:val="20"/>
          <w:szCs w:val="18"/>
        </w:rPr>
      </w:pPr>
      <w:r w:rsidRPr="00E9176A">
        <w:rPr>
          <w:i/>
          <w:iCs/>
          <w:sz w:val="20"/>
          <w:szCs w:val="18"/>
        </w:rPr>
        <w:t>*Ciemu teritoriju identificēšanai izmantots kadastrālo vērtību bāzes izstrādei pielietotais apdzīvotās vietas statuss ( var neatbilst pašvaldību teritorijas plānojumos noteiktiem ciemiem)</w:t>
      </w:r>
    </w:p>
    <w:p w14:paraId="15C4D678" w14:textId="77777777" w:rsidR="00E9176A" w:rsidRPr="00700518" w:rsidRDefault="00E9176A" w:rsidP="00700518">
      <w:pPr>
        <w:ind w:firstLine="720"/>
        <w:jc w:val="left"/>
        <w:rPr>
          <w:color w:val="FF0000"/>
        </w:rPr>
      </w:pPr>
    </w:p>
    <w:p w14:paraId="5C3DF207" w14:textId="77777777" w:rsidR="005C145A" w:rsidRDefault="005C145A" w:rsidP="00F4534B">
      <w:pPr>
        <w:spacing w:line="276" w:lineRule="auto"/>
        <w:ind w:firstLine="720"/>
        <w:jc w:val="right"/>
      </w:pPr>
    </w:p>
    <w:p w14:paraId="3861F134" w14:textId="77777777" w:rsidR="005C145A" w:rsidRDefault="005C145A" w:rsidP="00F4534B">
      <w:pPr>
        <w:spacing w:line="276" w:lineRule="auto"/>
        <w:ind w:firstLine="720"/>
        <w:jc w:val="right"/>
      </w:pPr>
    </w:p>
    <w:p w14:paraId="05550A1A" w14:textId="56DB3E2F" w:rsidR="00C04A70" w:rsidRPr="00A55ABB" w:rsidRDefault="00C04A70" w:rsidP="00C04A70">
      <w:pPr>
        <w:spacing w:line="276" w:lineRule="auto"/>
        <w:rPr>
          <w:i/>
          <w:iCs/>
          <w:szCs w:val="24"/>
        </w:rPr>
      </w:pPr>
    </w:p>
    <w:sectPr w:rsidR="00C04A70" w:rsidRPr="00A55ABB" w:rsidSect="00857DD1">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22F03"/>
    <w:multiLevelType w:val="hybridMultilevel"/>
    <w:tmpl w:val="96000E60"/>
    <w:lvl w:ilvl="0" w:tplc="C9601A7E">
      <w:start w:val="6"/>
      <w:numFmt w:val="bullet"/>
      <w:lvlText w:val=""/>
      <w:lvlJc w:val="left"/>
      <w:pPr>
        <w:ind w:left="1080" w:hanging="360"/>
      </w:pPr>
      <w:rPr>
        <w:rFonts w:ascii="Symbol" w:eastAsiaTheme="minorHAnsi" w:hAnsi="Symbol"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2A540219"/>
    <w:multiLevelType w:val="hybridMultilevel"/>
    <w:tmpl w:val="62969ED8"/>
    <w:lvl w:ilvl="0" w:tplc="04260005">
      <w:start w:val="1"/>
      <w:numFmt w:val="bullet"/>
      <w:lvlText w:val=""/>
      <w:lvlJc w:val="left"/>
      <w:pPr>
        <w:ind w:left="720" w:hanging="360"/>
      </w:pPr>
      <w:rPr>
        <w:rFonts w:ascii="Wingdings" w:hAnsi="Wingding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56512CAD"/>
    <w:multiLevelType w:val="hybridMultilevel"/>
    <w:tmpl w:val="328EBCEE"/>
    <w:lvl w:ilvl="0" w:tplc="CEEE1948">
      <w:start w:val="6"/>
      <w:numFmt w:val="bullet"/>
      <w:lvlText w:val=""/>
      <w:lvlJc w:val="left"/>
      <w:pPr>
        <w:ind w:left="720" w:hanging="360"/>
      </w:pPr>
      <w:rPr>
        <w:rFonts w:ascii="Symbol" w:eastAsiaTheme="minorHAnsi" w:hAnsi="Symbol"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C7072B1"/>
    <w:multiLevelType w:val="hybridMultilevel"/>
    <w:tmpl w:val="99C6AD5C"/>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593"/>
    <w:rsid w:val="00054CFC"/>
    <w:rsid w:val="00080F60"/>
    <w:rsid w:val="000872B3"/>
    <w:rsid w:val="000A5840"/>
    <w:rsid w:val="000E30B9"/>
    <w:rsid w:val="00105A75"/>
    <w:rsid w:val="00115AC2"/>
    <w:rsid w:val="00122AC4"/>
    <w:rsid w:val="0013245C"/>
    <w:rsid w:val="0016284F"/>
    <w:rsid w:val="00176FC4"/>
    <w:rsid w:val="001859A0"/>
    <w:rsid w:val="001A1B60"/>
    <w:rsid w:val="001B61DB"/>
    <w:rsid w:val="001C5EAA"/>
    <w:rsid w:val="001C675F"/>
    <w:rsid w:val="001D05F4"/>
    <w:rsid w:val="001E066A"/>
    <w:rsid w:val="001E6A61"/>
    <w:rsid w:val="001F7DE9"/>
    <w:rsid w:val="0024756A"/>
    <w:rsid w:val="00281A53"/>
    <w:rsid w:val="002B5BE0"/>
    <w:rsid w:val="002D7114"/>
    <w:rsid w:val="002E7AEC"/>
    <w:rsid w:val="00301E53"/>
    <w:rsid w:val="00355BB2"/>
    <w:rsid w:val="00387C13"/>
    <w:rsid w:val="003C4A82"/>
    <w:rsid w:val="003F3E5A"/>
    <w:rsid w:val="0040011E"/>
    <w:rsid w:val="00433926"/>
    <w:rsid w:val="004A283C"/>
    <w:rsid w:val="004C507F"/>
    <w:rsid w:val="004F5733"/>
    <w:rsid w:val="00511299"/>
    <w:rsid w:val="005341F9"/>
    <w:rsid w:val="00553892"/>
    <w:rsid w:val="0055414C"/>
    <w:rsid w:val="0055557C"/>
    <w:rsid w:val="005C145A"/>
    <w:rsid w:val="005C289B"/>
    <w:rsid w:val="00600A9A"/>
    <w:rsid w:val="0064286E"/>
    <w:rsid w:val="006528A0"/>
    <w:rsid w:val="006C080A"/>
    <w:rsid w:val="006D4E89"/>
    <w:rsid w:val="00700518"/>
    <w:rsid w:val="007124B6"/>
    <w:rsid w:val="007237F8"/>
    <w:rsid w:val="00753B22"/>
    <w:rsid w:val="00756DE0"/>
    <w:rsid w:val="00790A70"/>
    <w:rsid w:val="007C7EDC"/>
    <w:rsid w:val="007D537C"/>
    <w:rsid w:val="007D55D9"/>
    <w:rsid w:val="00814575"/>
    <w:rsid w:val="00857DD1"/>
    <w:rsid w:val="008755C3"/>
    <w:rsid w:val="00882ADC"/>
    <w:rsid w:val="008852D2"/>
    <w:rsid w:val="00894CD6"/>
    <w:rsid w:val="008B09A5"/>
    <w:rsid w:val="008B5E84"/>
    <w:rsid w:val="008B6007"/>
    <w:rsid w:val="008C5529"/>
    <w:rsid w:val="008D1854"/>
    <w:rsid w:val="00904BD4"/>
    <w:rsid w:val="009074EA"/>
    <w:rsid w:val="0099363E"/>
    <w:rsid w:val="009A7F29"/>
    <w:rsid w:val="009C3B59"/>
    <w:rsid w:val="009C4157"/>
    <w:rsid w:val="00A319BA"/>
    <w:rsid w:val="00A34C78"/>
    <w:rsid w:val="00A55ABB"/>
    <w:rsid w:val="00A87572"/>
    <w:rsid w:val="00AB2C7E"/>
    <w:rsid w:val="00AF5A21"/>
    <w:rsid w:val="00B25F48"/>
    <w:rsid w:val="00B45D64"/>
    <w:rsid w:val="00B773E1"/>
    <w:rsid w:val="00BA2E99"/>
    <w:rsid w:val="00BB72F4"/>
    <w:rsid w:val="00BD4552"/>
    <w:rsid w:val="00C04A70"/>
    <w:rsid w:val="00C26961"/>
    <w:rsid w:val="00C3456B"/>
    <w:rsid w:val="00C8666D"/>
    <w:rsid w:val="00CC60D5"/>
    <w:rsid w:val="00CE6D73"/>
    <w:rsid w:val="00D01892"/>
    <w:rsid w:val="00D03C08"/>
    <w:rsid w:val="00D50AB1"/>
    <w:rsid w:val="00D8337C"/>
    <w:rsid w:val="00D97E68"/>
    <w:rsid w:val="00DA56C6"/>
    <w:rsid w:val="00DF38DD"/>
    <w:rsid w:val="00DF71AD"/>
    <w:rsid w:val="00E36593"/>
    <w:rsid w:val="00E40754"/>
    <w:rsid w:val="00E82A70"/>
    <w:rsid w:val="00E9176A"/>
    <w:rsid w:val="00EB367A"/>
    <w:rsid w:val="00EC0976"/>
    <w:rsid w:val="00ED2364"/>
    <w:rsid w:val="00ED4288"/>
    <w:rsid w:val="00EE6491"/>
    <w:rsid w:val="00F4534B"/>
    <w:rsid w:val="00F56D22"/>
    <w:rsid w:val="00FA0826"/>
    <w:rsid w:val="00FC3A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E645"/>
  <w15:chartTrackingRefBased/>
  <w15:docId w15:val="{87FCC3C3-CCBB-460B-8302-50165F7BC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34C78"/>
    <w:pPr>
      <w:spacing w:line="360" w:lineRule="auto"/>
      <w:jc w:val="both"/>
    </w:pPr>
    <w:rPr>
      <w:rFonts w:ascii="Times New Roman" w:hAnsi="Times New Roman"/>
      <w:sz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Komentraatsauce">
    <w:name w:val="annotation reference"/>
    <w:basedOn w:val="Noklusjumarindkopasfonts"/>
    <w:uiPriority w:val="99"/>
    <w:semiHidden/>
    <w:unhideWhenUsed/>
    <w:rsid w:val="00054CFC"/>
    <w:rPr>
      <w:sz w:val="16"/>
      <w:szCs w:val="16"/>
    </w:rPr>
  </w:style>
  <w:style w:type="paragraph" w:styleId="Komentrateksts">
    <w:name w:val="annotation text"/>
    <w:basedOn w:val="Parasts"/>
    <w:link w:val="KomentratekstsRakstz"/>
    <w:uiPriority w:val="99"/>
    <w:semiHidden/>
    <w:unhideWhenUsed/>
    <w:rsid w:val="00054CFC"/>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054CFC"/>
    <w:rPr>
      <w:rFonts w:ascii="Times New Roman" w:hAnsi="Times New Roman"/>
      <w:sz w:val="20"/>
      <w:szCs w:val="20"/>
    </w:rPr>
  </w:style>
  <w:style w:type="paragraph" w:styleId="Komentratma">
    <w:name w:val="annotation subject"/>
    <w:basedOn w:val="Komentrateksts"/>
    <w:next w:val="Komentrateksts"/>
    <w:link w:val="KomentratmaRakstz"/>
    <w:uiPriority w:val="99"/>
    <w:semiHidden/>
    <w:unhideWhenUsed/>
    <w:rsid w:val="00054CFC"/>
    <w:rPr>
      <w:b/>
      <w:bCs/>
    </w:rPr>
  </w:style>
  <w:style w:type="character" w:customStyle="1" w:styleId="KomentratmaRakstz">
    <w:name w:val="Komentāra tēma Rakstz."/>
    <w:basedOn w:val="KomentratekstsRakstz"/>
    <w:link w:val="Komentratma"/>
    <w:uiPriority w:val="99"/>
    <w:semiHidden/>
    <w:rsid w:val="00054CFC"/>
    <w:rPr>
      <w:rFonts w:ascii="Times New Roman" w:hAnsi="Times New Roman"/>
      <w:b/>
      <w:bCs/>
      <w:sz w:val="20"/>
      <w:szCs w:val="20"/>
    </w:rPr>
  </w:style>
  <w:style w:type="paragraph" w:styleId="Sarakstarindkopa">
    <w:name w:val="List Paragraph"/>
    <w:basedOn w:val="Parasts"/>
    <w:uiPriority w:val="34"/>
    <w:qFormat/>
    <w:rsid w:val="007C7EDC"/>
    <w:pPr>
      <w:spacing w:after="0" w:line="240" w:lineRule="auto"/>
      <w:ind w:left="72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2364">
      <w:bodyDiv w:val="1"/>
      <w:marLeft w:val="0"/>
      <w:marRight w:val="0"/>
      <w:marTop w:val="0"/>
      <w:marBottom w:val="0"/>
      <w:divBdr>
        <w:top w:val="none" w:sz="0" w:space="0" w:color="auto"/>
        <w:left w:val="none" w:sz="0" w:space="0" w:color="auto"/>
        <w:bottom w:val="none" w:sz="0" w:space="0" w:color="auto"/>
        <w:right w:val="none" w:sz="0" w:space="0" w:color="auto"/>
      </w:divBdr>
    </w:div>
    <w:div w:id="732776744">
      <w:bodyDiv w:val="1"/>
      <w:marLeft w:val="0"/>
      <w:marRight w:val="0"/>
      <w:marTop w:val="0"/>
      <w:marBottom w:val="0"/>
      <w:divBdr>
        <w:top w:val="none" w:sz="0" w:space="0" w:color="auto"/>
        <w:left w:val="none" w:sz="0" w:space="0" w:color="auto"/>
        <w:bottom w:val="none" w:sz="0" w:space="0" w:color="auto"/>
        <w:right w:val="none" w:sz="0" w:space="0" w:color="auto"/>
      </w:divBdr>
    </w:div>
    <w:div w:id="782652403">
      <w:bodyDiv w:val="1"/>
      <w:marLeft w:val="0"/>
      <w:marRight w:val="0"/>
      <w:marTop w:val="0"/>
      <w:marBottom w:val="0"/>
      <w:divBdr>
        <w:top w:val="none" w:sz="0" w:space="0" w:color="auto"/>
        <w:left w:val="none" w:sz="0" w:space="0" w:color="auto"/>
        <w:bottom w:val="none" w:sz="0" w:space="0" w:color="auto"/>
        <w:right w:val="none" w:sz="0" w:space="0" w:color="auto"/>
      </w:divBdr>
    </w:div>
    <w:div w:id="852497917">
      <w:bodyDiv w:val="1"/>
      <w:marLeft w:val="0"/>
      <w:marRight w:val="0"/>
      <w:marTop w:val="0"/>
      <w:marBottom w:val="0"/>
      <w:divBdr>
        <w:top w:val="none" w:sz="0" w:space="0" w:color="auto"/>
        <w:left w:val="none" w:sz="0" w:space="0" w:color="auto"/>
        <w:bottom w:val="none" w:sz="0" w:space="0" w:color="auto"/>
        <w:right w:val="none" w:sz="0" w:space="0" w:color="auto"/>
      </w:divBdr>
    </w:div>
    <w:div w:id="1092241413">
      <w:bodyDiv w:val="1"/>
      <w:marLeft w:val="0"/>
      <w:marRight w:val="0"/>
      <w:marTop w:val="0"/>
      <w:marBottom w:val="0"/>
      <w:divBdr>
        <w:top w:val="none" w:sz="0" w:space="0" w:color="auto"/>
        <w:left w:val="none" w:sz="0" w:space="0" w:color="auto"/>
        <w:bottom w:val="none" w:sz="0" w:space="0" w:color="auto"/>
        <w:right w:val="none" w:sz="0" w:space="0" w:color="auto"/>
      </w:divBdr>
    </w:div>
    <w:div w:id="1549956546">
      <w:bodyDiv w:val="1"/>
      <w:marLeft w:val="0"/>
      <w:marRight w:val="0"/>
      <w:marTop w:val="0"/>
      <w:marBottom w:val="0"/>
      <w:divBdr>
        <w:top w:val="none" w:sz="0" w:space="0" w:color="auto"/>
        <w:left w:val="none" w:sz="0" w:space="0" w:color="auto"/>
        <w:bottom w:val="none" w:sz="0" w:space="0" w:color="auto"/>
        <w:right w:val="none" w:sz="0" w:space="0" w:color="auto"/>
      </w:divBdr>
    </w:div>
    <w:div w:id="1762414520">
      <w:bodyDiv w:val="1"/>
      <w:marLeft w:val="0"/>
      <w:marRight w:val="0"/>
      <w:marTop w:val="0"/>
      <w:marBottom w:val="0"/>
      <w:divBdr>
        <w:top w:val="none" w:sz="0" w:space="0" w:color="auto"/>
        <w:left w:val="none" w:sz="0" w:space="0" w:color="auto"/>
        <w:bottom w:val="none" w:sz="0" w:space="0" w:color="auto"/>
        <w:right w:val="none" w:sz="0" w:space="0" w:color="auto"/>
      </w:divBdr>
    </w:div>
    <w:div w:id="1800418326">
      <w:bodyDiv w:val="1"/>
      <w:marLeft w:val="0"/>
      <w:marRight w:val="0"/>
      <w:marTop w:val="0"/>
      <w:marBottom w:val="0"/>
      <w:divBdr>
        <w:top w:val="none" w:sz="0" w:space="0" w:color="auto"/>
        <w:left w:val="none" w:sz="0" w:space="0" w:color="auto"/>
        <w:bottom w:val="none" w:sz="0" w:space="0" w:color="auto"/>
        <w:right w:val="none" w:sz="0" w:space="0" w:color="auto"/>
      </w:divBdr>
    </w:div>
    <w:div w:id="186308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image" Target="cid:image001.png@01DAA846.4ADD5FD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chart" Target="charts/chart2.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6.emf"/><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Lapa1!$B$1</c:f>
              <c:strCache>
                <c:ptCount val="1"/>
                <c:pt idx="0">
                  <c:v>Tirdzniecība</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C2B6-45E0-A28F-E35A1D6E4CE8}"/>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C2B6-45E0-A28F-E35A1D6E4CE8}"/>
              </c:ext>
            </c:extLst>
          </c:dPt>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lv-LV"/>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Lapa1!$A$2:$A$3</c:f>
              <c:strCache>
                <c:ptCount val="2"/>
                <c:pt idx="0">
                  <c:v>Ir TAPIS</c:v>
                </c:pt>
                <c:pt idx="1">
                  <c:v>Nav TAPIS</c:v>
                </c:pt>
              </c:strCache>
            </c:strRef>
          </c:cat>
          <c:val>
            <c:numRef>
              <c:f>Lapa1!$B$2:$B$3</c:f>
              <c:numCache>
                <c:formatCode>General</c:formatCode>
                <c:ptCount val="2"/>
                <c:pt idx="0">
                  <c:v>577446</c:v>
                </c:pt>
                <c:pt idx="1">
                  <c:v>465222</c:v>
                </c:pt>
              </c:numCache>
            </c:numRef>
          </c:val>
          <c:extLst>
            <c:ext xmlns:c16="http://schemas.microsoft.com/office/drawing/2014/chart" uri="{C3380CC4-5D6E-409C-BE32-E72D297353CC}">
              <c16:uniqueId val="{00000004-C2B6-45E0-A28F-E35A1D6E4CE8}"/>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197" b="0" i="0" u="none" strike="noStrike" kern="1200" baseline="0">
              <a:solidFill>
                <a:schemeClr val="dk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Lapa1!$B$1</c:f>
              <c:strCache>
                <c:ptCount val="1"/>
                <c:pt idx="0">
                  <c:v>Tirdzniecība</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F5DF-48AC-950D-1F0B6D89E8AE}"/>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F5DF-48AC-950D-1F0B6D89E8AE}"/>
              </c:ext>
            </c:extLst>
          </c:dPt>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lv-LV"/>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Lapa1!$A$2:$A$3</c:f>
              <c:strCache>
                <c:ptCount val="2"/>
                <c:pt idx="0">
                  <c:v>Neapbūvētas  ZV</c:v>
                </c:pt>
                <c:pt idx="1">
                  <c:v>Apbūvētas ZV</c:v>
                </c:pt>
              </c:strCache>
            </c:strRef>
          </c:cat>
          <c:val>
            <c:numRef>
              <c:f>Lapa1!$B$2:$B$3</c:f>
              <c:numCache>
                <c:formatCode>General</c:formatCode>
                <c:ptCount val="2"/>
                <c:pt idx="0">
                  <c:v>298022</c:v>
                </c:pt>
                <c:pt idx="1">
                  <c:v>278424</c:v>
                </c:pt>
              </c:numCache>
            </c:numRef>
          </c:val>
          <c:extLst>
            <c:ext xmlns:c16="http://schemas.microsoft.com/office/drawing/2014/chart" uri="{C3380CC4-5D6E-409C-BE32-E72D297353CC}">
              <c16:uniqueId val="{00000004-F5DF-48AC-950D-1F0B6D89E8AE}"/>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197" b="0" i="0" u="none" strike="noStrike" kern="1200" baseline="0">
              <a:solidFill>
                <a:schemeClr val="dk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v-LV"/>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0"/>
      <c:depthPercent val="100"/>
      <c:rAngAx val="0"/>
      <c:perspective val="6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Lapa1!$B$1</c:f>
              <c:strCache>
                <c:ptCount val="1"/>
                <c:pt idx="0">
                  <c:v>Tirdzniecība</c:v>
                </c:pt>
              </c:strCache>
            </c:strRef>
          </c:tx>
          <c:dPt>
            <c:idx val="0"/>
            <c:bubble3D val="0"/>
            <c:spPr>
              <a:solidFill>
                <a:schemeClr val="accent1"/>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1-D785-4621-AFB0-C8770773F29D}"/>
              </c:ext>
            </c:extLst>
          </c:dPt>
          <c:dPt>
            <c:idx val="1"/>
            <c:bubble3D val="0"/>
            <c:spPr>
              <a:solidFill>
                <a:schemeClr val="accent2"/>
              </a:solidFill>
              <a:ln>
                <a:noFill/>
              </a:ln>
              <a:effectLst>
                <a:outerShdw blurRad="88900" sx="102000" sy="102000" algn="ctr" rotWithShape="0">
                  <a:prstClr val="black">
                    <a:alpha val="20000"/>
                  </a:prstClr>
                </a:outerShdw>
              </a:effectLst>
              <a:scene3d>
                <a:camera prst="orthographicFront"/>
                <a:lightRig rig="threePt" dir="t"/>
              </a:scene3d>
              <a:sp3d prstMaterial="matte"/>
            </c:spPr>
            <c:extLst>
              <c:ext xmlns:c16="http://schemas.microsoft.com/office/drawing/2014/chart" uri="{C3380CC4-5D6E-409C-BE32-E72D297353CC}">
                <c16:uniqueId val="{00000003-D785-4621-AFB0-C8770773F29D}"/>
              </c:ext>
            </c:extLst>
          </c:dPt>
          <c:dLbls>
            <c:spPr>
              <a:noFill/>
              <a:ln>
                <a:noFill/>
              </a:ln>
              <a:effectLst/>
            </c:spPr>
            <c:txPr>
              <a:bodyPr rot="0" spcFirstLastPara="1" vertOverflow="ellipsis" vert="horz" wrap="square" lIns="38100" tIns="19050" rIns="38100" bIns="19050" anchor="ctr" anchorCtr="1">
                <a:spAutoFit/>
              </a:bodyPr>
              <a:lstStyle/>
              <a:p>
                <a:pPr>
                  <a:defRPr sz="1197" b="1" i="0" u="none" strike="noStrike" kern="1200" baseline="0">
                    <a:solidFill>
                      <a:schemeClr val="lt1"/>
                    </a:solidFill>
                    <a:latin typeface="+mn-lt"/>
                    <a:ea typeface="+mn-ea"/>
                    <a:cs typeface="+mn-cs"/>
                  </a:defRPr>
                </a:pPr>
                <a:endParaRPr lang="lv-LV"/>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Lapa1!$A$2:$A$3</c:f>
              <c:strCache>
                <c:ptCount val="2"/>
                <c:pt idx="0">
                  <c:v>Apbūves zeme</c:v>
                </c:pt>
                <c:pt idx="1">
                  <c:v>Zeme, uz kuras apbūve nav prim.izm.</c:v>
                </c:pt>
              </c:strCache>
            </c:strRef>
          </c:cat>
          <c:val>
            <c:numRef>
              <c:f>Lapa1!$B$2:$B$3</c:f>
              <c:numCache>
                <c:formatCode>General</c:formatCode>
                <c:ptCount val="2"/>
                <c:pt idx="0">
                  <c:v>89110</c:v>
                </c:pt>
                <c:pt idx="1">
                  <c:v>208912</c:v>
                </c:pt>
              </c:numCache>
            </c:numRef>
          </c:val>
          <c:extLst>
            <c:ext xmlns:c16="http://schemas.microsoft.com/office/drawing/2014/chart" uri="{C3380CC4-5D6E-409C-BE32-E72D297353CC}">
              <c16:uniqueId val="{00000004-D785-4621-AFB0-C8770773F29D}"/>
            </c:ext>
          </c:extLst>
        </c:ser>
        <c:dLbls>
          <c:dLblPos val="inEnd"/>
          <c:showLegendKey val="0"/>
          <c:showVal val="0"/>
          <c:showCatName val="0"/>
          <c:showSerName val="0"/>
          <c:showPercent val="1"/>
          <c:showBubbleSize val="0"/>
          <c:showLeaderLines val="1"/>
        </c:dLbls>
      </c:pie3D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1197" b="0" i="0" u="none" strike="noStrike" kern="1200" baseline="0">
              <a:solidFill>
                <a:schemeClr val="dk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1197" kern="1200"/>
  </cs:axisTitle>
  <cs:categoryAxis>
    <cs:lnRef idx="0"/>
    <cs:fillRef idx="0"/>
    <cs:effectRef idx="0"/>
    <cs:fontRef idx="minor">
      <a:schemeClr val="dk1">
        <a:lumMod val="65000"/>
        <a:lumOff val="35000"/>
      </a:schemeClr>
    </cs:fontRef>
    <cs:defRPr sz="1197"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1197"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1197"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22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1197" kern="1200"/>
  </cs:axisTitle>
  <cs:categoryAxis>
    <cs:lnRef idx="0"/>
    <cs:fillRef idx="0"/>
    <cs:effectRef idx="0"/>
    <cs:fontRef idx="minor">
      <a:schemeClr val="dk1">
        <a:lumMod val="65000"/>
        <a:lumOff val="35000"/>
      </a:schemeClr>
    </cs:fontRef>
    <cs:defRPr sz="1197"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1197"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1197"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22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1197" kern="1200"/>
  </cs:axisTitle>
  <cs:categoryAxis>
    <cs:lnRef idx="0"/>
    <cs:fillRef idx="0"/>
    <cs:effectRef idx="0"/>
    <cs:fontRef idx="minor">
      <a:schemeClr val="dk1">
        <a:lumMod val="65000"/>
        <a:lumOff val="35000"/>
      </a:schemeClr>
    </cs:fontRef>
    <cs:defRPr sz="1197"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1197" kern="1200"/>
  </cs:chartArea>
  <cs:dataLabel>
    <cs:lnRef idx="0"/>
    <cs:fillRef idx="0"/>
    <cs:effectRef idx="0"/>
    <cs:fontRef idx="minor">
      <a:schemeClr val="lt1"/>
    </cs:fontRef>
    <cs:defRPr sz="1197"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1197"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1197"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1197"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22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1197"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1197" kern="1200"/>
  </cs:valueAxis>
  <cs:wall>
    <cs:lnRef idx="0"/>
    <cs:fillRef idx="0"/>
    <cs:effectRef idx="0"/>
    <cs:fontRef idx="minor">
      <a:schemeClr val="dk1"/>
    </cs:fontRef>
  </cs:wall>
</cs:chartStyle>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VZD">
    <a:dk1>
      <a:srgbClr val="2E294E"/>
    </a:dk1>
    <a:lt1>
      <a:srgbClr val="FFFFFF"/>
    </a:lt1>
    <a:dk2>
      <a:srgbClr val="990066"/>
    </a:dk2>
    <a:lt2>
      <a:srgbClr val="FFFFFF"/>
    </a:lt2>
    <a:accent1>
      <a:srgbClr val="993366"/>
    </a:accent1>
    <a:accent2>
      <a:srgbClr val="CC0099"/>
    </a:accent2>
    <a:accent3>
      <a:srgbClr val="C9D2FD"/>
    </a:accent3>
    <a:accent4>
      <a:srgbClr val="5E78FA"/>
    </a:accent4>
    <a:accent5>
      <a:srgbClr val="0420AB"/>
    </a:accent5>
    <a:accent6>
      <a:srgbClr val="FFD416"/>
    </a:accent6>
    <a:hlink>
      <a:srgbClr val="FFD416"/>
    </a:hlink>
    <a:folHlink>
      <a:srgbClr val="BFBFBF"/>
    </a:folHlink>
  </a:clrScheme>
  <a:fontScheme name="VZD">
    <a:majorFont>
      <a:latin typeface="Verdana"/>
      <a:ea typeface=""/>
      <a:cs typeface=""/>
    </a:majorFont>
    <a:minorFont>
      <a:latin typeface="Verdana"/>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VZD">
    <a:dk1>
      <a:srgbClr val="2E294E"/>
    </a:dk1>
    <a:lt1>
      <a:srgbClr val="FFFFFF"/>
    </a:lt1>
    <a:dk2>
      <a:srgbClr val="990066"/>
    </a:dk2>
    <a:lt2>
      <a:srgbClr val="FFFFFF"/>
    </a:lt2>
    <a:accent1>
      <a:srgbClr val="993366"/>
    </a:accent1>
    <a:accent2>
      <a:srgbClr val="CC0099"/>
    </a:accent2>
    <a:accent3>
      <a:srgbClr val="C9D2FD"/>
    </a:accent3>
    <a:accent4>
      <a:srgbClr val="5E78FA"/>
    </a:accent4>
    <a:accent5>
      <a:srgbClr val="0420AB"/>
    </a:accent5>
    <a:accent6>
      <a:srgbClr val="FFD416"/>
    </a:accent6>
    <a:hlink>
      <a:srgbClr val="FFD416"/>
    </a:hlink>
    <a:folHlink>
      <a:srgbClr val="BFBFBF"/>
    </a:folHlink>
  </a:clrScheme>
  <a:fontScheme name="VZD">
    <a:majorFont>
      <a:latin typeface="Verdana"/>
      <a:ea typeface=""/>
      <a:cs typeface=""/>
    </a:majorFont>
    <a:minorFont>
      <a:latin typeface="Verdana"/>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VZD">
    <a:dk1>
      <a:srgbClr val="2E294E"/>
    </a:dk1>
    <a:lt1>
      <a:srgbClr val="FFFFFF"/>
    </a:lt1>
    <a:dk2>
      <a:srgbClr val="990066"/>
    </a:dk2>
    <a:lt2>
      <a:srgbClr val="FFFFFF"/>
    </a:lt2>
    <a:accent1>
      <a:srgbClr val="993366"/>
    </a:accent1>
    <a:accent2>
      <a:srgbClr val="CC0099"/>
    </a:accent2>
    <a:accent3>
      <a:srgbClr val="C9D2FD"/>
    </a:accent3>
    <a:accent4>
      <a:srgbClr val="5E78FA"/>
    </a:accent4>
    <a:accent5>
      <a:srgbClr val="0420AB"/>
    </a:accent5>
    <a:accent6>
      <a:srgbClr val="FFD416"/>
    </a:accent6>
    <a:hlink>
      <a:srgbClr val="FFD416"/>
    </a:hlink>
    <a:folHlink>
      <a:srgbClr val="BFBFBF"/>
    </a:folHlink>
  </a:clrScheme>
  <a:fontScheme name="VZD">
    <a:majorFont>
      <a:latin typeface="Verdana"/>
      <a:ea typeface=""/>
      <a:cs typeface=""/>
    </a:majorFont>
    <a:minorFont>
      <a:latin typeface="Verdana"/>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99B793-9BDD-40B3-A0C3-35918820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1274</TotalTime>
  <Pages>8</Pages>
  <Words>5187</Words>
  <Characters>2958</Characters>
  <Application>Microsoft Office Word</Application>
  <DocSecurity>0</DocSecurity>
  <Lines>24</Lines>
  <Paragraphs>16</Paragraphs>
  <ScaleCrop>false</ScaleCrop>
  <HeadingPairs>
    <vt:vector size="2" baseType="variant">
      <vt:variant>
        <vt:lpstr>Nosaukums</vt:lpstr>
      </vt:variant>
      <vt:variant>
        <vt:i4>1</vt:i4>
      </vt:variant>
    </vt:vector>
  </HeadingPairs>
  <TitlesOfParts>
    <vt:vector size="1" baseType="lpstr">
      <vt:lpstr/>
    </vt:vector>
  </TitlesOfParts>
  <Company>VZD</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Ija Romanova</dc:creator>
  <cp:keywords/>
  <dc:description/>
  <cp:lastModifiedBy>Santa Bindere</cp:lastModifiedBy>
  <cp:revision>60</cp:revision>
  <dcterms:created xsi:type="dcterms:W3CDTF">2024-05-10T11:10:00Z</dcterms:created>
  <dcterms:modified xsi:type="dcterms:W3CDTF">2024-05-17T12:05:00Z</dcterms:modified>
</cp:coreProperties>
</file>