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un Eiropas Savienības atbalsta piešķiršanas kārtība Eiropas Lauksaimniecības fonda lauku attīstībai intervencē "Atbalsts ieguldījumiem mazajās lauku saimniecībās" 2023.-2027. gadam"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"Valsts un Eiropas Savienības atbalsta piešķiršanas kārtība Eiropas Lauksaimniecības fonda lauku attīstībai intervencē "Atbalsts ieguldījumiem mazajās lauku saimniecībās" 2023.-2027.gadam (turpmāk – noteikumu projekts) ir sagatavots, pamatojoties uz Lauksaimniecības un lauku attīstības likuma 5. panta ceturto daļu, kā arī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2022. gada 11. novembra Īstenošanas lēmumu Nr. CCI: 2023LV06AFSP001, ar kuru apstiprina Latvijas 2023.–2027. gada KLP stratēģisko plānu attiecībā uz Savienības atbalstu, ko finansē no Eiropas Lauksaimniecības garantiju fonda un Eiropas Lauksaimniecības fonda lauku attīstībai (turpmāk – Īstenošanas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2021. gada 2. decembra Regulu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 gada 1. janvāri sākās Latvijas Kopējās lauksaimniecības politikas stratēģiskais plāna 2023.–2027. gadam (turpmāk – KLP SP) ieviešana un jaunais 2023.–2027. gada Eiropas Lauksaimniecības garantiju fonda un Eiropas Lauksaimniecības fonda lauku attīstībai plānošanas periods. Noteikumi nosaka valsts un Eiropas Savienības atbalsta piešķiršanas kārtību intervencē LA5 "Atbalsts ieguldījumiem mazajās lauku saimniecībās".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jauno KLP SP īstenošanas periodu, nepieciešami jauni Ministru kabineta noteikumi, jo ir pieņemti jauni Eiropas Savienības normatīvie akti par atbalsta piešķiršanu lauku attīstībai no Eiropas Lauksaimniecības fonda lauku attīstībai (turpmāk – ELFLA).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11. novembrī Eiropas Komisija ar Īstenošanas lēmumu apstiprināja Zemkopības ministrijas izstrādāto KLP SP.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noteiktā intervences LA5 "Atbalsts ieguldījumiem mazajās lauku saimniecībās" (turpmāk – atbalsts) mērķis ir atbalstīt mazo lauku saimniecību attīstību, lai veicinātu to konkurētspēju, palielinot to ražošanas produktivitāti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mazo saimniecību īpatsvars ir viens no lielākajiem ES, un tās nozīmīgi ietekmē sociālekonomisko situāciju laukos, īpaši no attīstības centriem attālās teritorijās, tomēr šo saimniecību ekonomiskā aktivitāte kopumā ir vāja, un to potenciāls (zeme, darbaspēks, ražošanas resursi) netiek pietiekami izmantots.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Mazās saimniecības vislielāko daļu no saviem ieguldījumiem iegūst pašu spēkiem, tāpēc šie ieguldījumi ir visai nelieli. Mazo saimniecību pamatlīdzekļi ir nolietoti, un tie netiek pietiekami atjaunoti.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gadā bija 58,8 tūkst. mazo saimniecību ar standarta izlaidi līdz 15 tūkst. </w:t>
      </w:r>
      <w:r w:rsidR="00000000" w:rsidRPr="00000000" w:rsidDel="00000000">
        <w:rPr>
          <w:i w:val="1"/>
          <w:rtl w:val="0"/>
        </w:rPr>
        <w:t xml:space="preserve">euro </w:t>
      </w:r>
      <w:r w:rsidR="00000000" w:rsidRPr="00000000" w:rsidDel="00000000">
        <w:rPr>
          <w:rtl w:val="0"/>
        </w:rPr>
        <w:t xml:space="preserve">jeb 85,2 % no saimniecību kopskaita. Tajās tika apsaimniekoti 447,7 tūkst. ha jeb 22,7 % no lauksaimniecībā izmantojamās zemes (LIZ), un mazo saimniecību kopējais ekonomiskais lielums (standarta izlaide) bija 143,1 tūkst. </w:t>
      </w:r>
      <w:r w:rsidR="00000000" w:rsidRPr="00000000" w:rsidDel="00000000">
        <w:rPr>
          <w:i w:val="1"/>
          <w:rtl w:val="0"/>
        </w:rPr>
        <w:t xml:space="preserve">euro </w:t>
      </w:r>
      <w:r w:rsidR="00000000" w:rsidRPr="00000000" w:rsidDel="00000000">
        <w:rPr>
          <w:rtl w:val="0"/>
        </w:rPr>
        <w:t xml:space="preserve">jeb 10,8 % no kopējā ekonomiskā lieluma (standarta izlaides). Salīdzinājumā ar 2010. gadu mazo saimniecību īpatsvars ir samazinājies par 6,27 %.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Mazo saimniecību grupā aptuveni līdzīga nozīme ir trim specializācijas veidiem: laukkopībai, jauktajai augkopībai un lopkopībai, kā arī piena lopkopībai.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Piena lopkopībā 2019. gadā bija 12,9 tūkst. piena lopkopības saimniecību. 81 % bija mazās saimniecības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slaucamām govīm, bet atlikušajiem 19 % pieder 80,7 % no valstī esošajām slaucamajām govīm.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šo atbalstu, mazajām lauku saimniecībām tiks sniegts ieguldījumu atbalsts granta veidā – pamatlīdzekļu (jaunas un lietotas lauksaimniecības tehnikas) iegādei, ilggadīgo augļkopības kultūraugu (izņemot zemeņu) stādu iegādei, investīcijām klimata pārmaiņu samazināšanas pasākumos un ražošanas ēku būvniecībai, tātad tādiem ieguldījumiem, kas saistīti ar lauksaimnieciskās darbības uzsākšanu, saimniecības pārstrukturēšanu, efektīvas un produktīvas ražošanas attīstību un dalības nodrošināšanu tirgū. Tādējādi tiks veicināta mazo saimniecību attīstība, tām kļūstot par tirgum ražojošām un konkurētspējīgām 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atbalsta līdzekļiem ir plānots atbalstīt saimnieciskās darbības uzsākšanu un esošās saimnieciskās darbības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mazo saimniecību attīstībai vienai mazajai saimniecībai paredzēts publiskais finansējums no 5000 līdz 30 000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atbalstīt mazās lauku saimniecības, kā arī saimnieciskās darbības uzsākšanu nepārstrādātu un pārstrādātu lauksaimniecības produktu ražošanai saskaņā ar Līguma par Eiropas Savienības darbību I pielikumu, kā arī tūristu apmeklējumiem, tūristiem piedāvājot saimniecībā saražoto produkciju.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noteiktas projekta iesniedzējam izvirzāmās prasības, atbalstāmās darbības, publiskā finansējuma veids un apmērs, pieteikšanās kārtība un iesniedzamie dokumenti. Noteikumu projekts noteic nosacījumus atbalsta saņemšanai: dzīvesvieta vai juridiskā adrese ir lauku teritorijā, gada kopējais neto apgrozījums iepriekšējā noslēgtajā gadā pirms projekta iesniegšanas nepārsniedz 15 000 </w:t>
      </w:r>
      <w:r w:rsidR="00000000" w:rsidRPr="00000000" w:rsidDel="00000000">
        <w:rPr>
          <w:i w:val="1"/>
          <w:rtl w:val="0"/>
        </w:rPr>
        <w:t xml:space="preserve">euro, </w:t>
      </w:r>
      <w:r w:rsidR="00000000" w:rsidRPr="00000000" w:rsidDel="00000000">
        <w:rPr>
          <w:rtl w:val="0"/>
        </w:rPr>
        <w:t xml:space="preserve">un kopējā īpašumā esošās vai nomātās lauksaimniecībā izmantojamās zemes platība nepārsniedz 100 hektāru.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apmērs ir no 5000 līdz 30 000 </w:t>
      </w:r>
      <w:r w:rsidR="00000000" w:rsidRPr="00000000" w:rsidDel="00000000">
        <w:rPr>
          <w:i w:val="1"/>
          <w:rtl w:val="0"/>
        </w:rPr>
        <w:t xml:space="preserve">euro</w:t>
      </w:r>
      <w:r w:rsidR="00000000" w:rsidRPr="00000000" w:rsidDel="00000000">
        <w:rPr>
          <w:rtl w:val="0"/>
        </w:rPr>
        <w:t xml:space="preserve">, savukārt atbalsta intensitāte ir 50–85 % no projekta izdevumiem. Atbalsta intensitāte tiek diferencēta pēc ieguldījumu veida, mazāku atbalsta intensitāti piemērojot tehnikas iegādei.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pretendentam, iesniedzot iesniegumu, tajā jāiekļauj darījumdarbības jeb biznesa plāns ar informāciju par paredzētajām investīcijām, sasniedzamajiem rādītājiem, saimniecības attīstības mērķi, projekta īstenošanas vietu, projekta īstenošanas nozari, ražošanas plāns ar ražošanas apjomu, naudas plūsmas pārskats par pēdējo noslēgto gadu, turpmākajiem gadiem, kā arī gadu, divus vai trīs gadus pēc īstenošanas, lai apliecinātu saimniecības ekonomisko dzīvotspēju, un citas ziņas.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atbalstu neattiecina vispārējas nozīmes un tādu transportlīdzekļu izmaksas, kuri nav īpaši pielāgoti speciālu funkciju izpildei. Tas nozīmē, ka attiecināma ir tikai tādas tehnikas iegāde, kura ir tieši saistīta ar projektā ietverto darbību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saņēmējam pēc projekta īstenošanas jāsasniedz noteikti saimnieciskās darbības rādītāji un mērķi. Viens no šādiem rādītājiem ir palielināt ražošanas efektivitāti – tas ietver efektīvu resursu izmantošanas veicināšanu, piemēram, enerģijas lietderīgu izmantošanu, ūdens resursu efektīvu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Vienotās likmes aprēķina metodika projektu sagatavošanas un vispārējām izmaksām un tehnikas un iekārtu katalogs atbilstoši noteikumu projekta 27. un 28. punktam tiks izstrādāti un publicēti Zemkopības ministrijas tīmekļvietnē līdz projekta iesniegumu pieņemšanas kārtas izsludināšanai.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ir attiecināms uz ieguldījumiem lauku saimniecībās piena lopkopības nozarē. Situācijā, kad saimniecībā esošā piena nozare tiek pārorientēta uz citu nozari, ir pieļaujama tikai pāreja uz citu lopkopības veidu, nevis, piemēram, uz graudkopības nozari.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Iesniegtie projektu iesniegumi, tos izvērtējot, sākotnēji tiks sarindoti atbilstoši noteikumu projekta pielikumā minētajiem projektu atlases kritēriju punktiem, kuri ir izskatīti un apstiprināti KLP stratēģiskā plāna 2023.–2027. gadam Uzraudzības komitejā. Prioritāri atbalstu var saņem tie atbalsta pretendenti, kas ieguvuši lielāku punktu skaitu atlases kritērijos un atbilst atbalsta saņemšanas nosacījumiem. Lielāks punktu skaits tiek piešķirts šādos kritērijos: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attīstāmā saimniecības nozare ir augļkopība, dārzeņkopība un lopkopība (izņemot piena lopkopību);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saimniecība strādā bioloģiskās lauksaimniecības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projekta liela gatavība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mazs iekšzemes kopprodukts uz vienu iedzīvotāju attiecīgajā saimniecības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liels saimniecības kopējais apgrozījums;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atbalsta pretendents iepriekš nav saņēmis publisko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mazs pieteiktā projekta attiecināmo izmaksu summas lielums projektu iesniegšanas kārtā;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 paredzēti preventīvie pasākumi aitkopības saimniecībām, lai samazinātu savvaļas dzīvnieku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saimniecība vismaz trīs gadus ir kooperatīvās sabiedrības biedrs;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 kopprojekta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 no lauksaimnieciskajai darbībai paredzētās zemes projekta iesniedzējam pieder vairāk nekā 51 %.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ka darbības, ko finansē KLP, nepārklātos ar citi ES fondu finansētām darbībām Lauku atbalsta dienestam (LAD) ir izveidota tieša sasaiste ar Eiropas Savienības struktūrfondu un Kohēzijas fonda vadības informācijas sistēmu, kurā iespējams pārbaudīt projektu nepārklāšanos un atbalsta nedublēšanos. Ir paredzēts, ka LAD sadarbībā ar citām attiecīgām iestādēm un, izmantojot šo sistēmu, veic pārbaudi jau projektu iesniegšanas brīdī arī projektu uzskaites sistēmā, lai nodrošinātu to, ka par vieniem un tiem pašiem ieguldījumiem netiktu saņemts dubults atbalsts.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tiesiskais regulējums attieksies uz atbalsta pretendentiem, kas var būt fiziskas vai juridiskas personas, kuru gada kopējais apgrozījums iepriekšējā noslēgtajā gadā pirms projekta iesnieguma iesniegšanas nepārsniedz 15 000 </w:t>
      </w:r>
      <w:r w:rsidR="00000000" w:rsidRPr="00000000" w:rsidDel="00000000">
        <w:rPr>
          <w:i w:val="1"/>
          <w:rtl w:val="0"/>
        </w:rPr>
        <w:t xml:space="preserve">euro</w:t>
      </w:r>
      <w:r w:rsidR="00000000" w:rsidRPr="00000000" w:rsidDel="00000000">
        <w:rPr>
          <w:rtl w:val="0"/>
        </w:rPr>
        <w:t xml:space="preserve"> un kuru īpašumā vai nomā lauksaimniecībā izmantojamās zemes nav vairāk par 100 hektāriem.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Indikatīvi plānots, ka kopējais atbalsta pretendentu skaits visā 2023.–2027. gada plānošanas periodā būs 1066 mazās saimniecības.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uzņēmumu attīstību un palielinās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uzņēmumu izaugsmi un palielinās konkurētspēju, tā palielinot arī nozares konkurētspēju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saimniecību un saimniecisko darbību veicēju izaugsmi un palielinās konkurētspēju, tā palielinot arī nozares konkurētspēju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paredz atbalstu ieguldījumiem mazajās lauku saimniecībās.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uzņēmumu izaugsmi un palielinās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Netieši var ietekmēt nodarbinātību: piedalīšanās intervencē, iespējams, radīs jaunas darbavietas.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2 890 000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2 890 000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Ministru kabineta 2022. gada 18. janvāra protokolu Nr. 3 34.§ "Informatīvais ziņojums "Par Latvijas Kopējās lauksaimniecības politikas stratēģisko plānu 2023.–2027. gadam"" norādīto indikatīvo finansējumu un Latvijas Kopējās lauksaimniecības politikas stratēģisko plānu 2023.–2027. gadam intervencei "Atbalsts ieguldījumiem mazajās lauku saimniecībās" publiskais finansējums apstiprināts 20 000 000 </w:t>
            </w:r>
            <w:r w:rsidR="00000000" w:rsidRPr="00000000" w:rsidDel="00000000">
              <w:rPr>
                <w:sz w:val="24"/>
                <w:i w:val="1"/>
                <w:rtl w:val="0"/>
              </w:rPr>
              <w:t xml:space="preserve">euro </w:t>
            </w:r>
            <w:r w:rsidR="00000000" w:rsidRPr="00000000" w:rsidDel="00000000">
              <w:rPr>
                <w:sz w:val="24"/>
                <w:rtl w:val="0"/>
              </w:rPr>
              <w:t xml:space="preserve">apmērā (no tā ES līdzfinansējums 85 % jeb 17 000 000 </w:t>
            </w:r>
            <w:r w:rsidR="00000000" w:rsidRPr="00000000" w:rsidDel="00000000">
              <w:rPr>
                <w:sz w:val="24"/>
                <w:i w:val="1"/>
                <w:rtl w:val="0"/>
              </w:rPr>
              <w:t xml:space="preserve">euro </w:t>
            </w:r>
            <w:r w:rsidR="00000000" w:rsidRPr="00000000" w:rsidDel="00000000">
              <w:rPr>
                <w:sz w:val="24"/>
                <w:rtl w:val="0"/>
              </w:rPr>
              <w:t xml:space="preserve">un valsts finansējums 15 % jeb 3 000 000 </w:t>
            </w:r>
            <w:r w:rsidR="00000000" w:rsidRPr="00000000" w:rsidDel="00000000">
              <w:rPr>
                <w:sz w:val="24"/>
                <w:i w:val="1"/>
                <w:rtl w:val="0"/>
              </w:rPr>
              <w:t xml:space="preserve">euro</w:t>
            </w:r>
            <w:r w:rsidR="00000000" w:rsidRPr="00000000" w:rsidDel="00000000">
              <w:rPr>
                <w:sz w:val="24"/>
                <w:rtl w:val="0"/>
              </w:rPr>
              <w:t xml:space="preserve">).  2022. gada 18. janvāra informatīvajā ziņojumā bija norādīts indikatīvs finanšu sadalījums. Ievērojot Eiropas Komisijas iesniegtos apsvērumus par KLP stratēģisko plānu 2023.–2027. gadam, plānā tika izdarīti grozījumi, tostarp finansējuma sadalē starp atsevišķiem pasākumiem jeb intervencēm. Šīs finanšu korekcijas starp intervencēm neparedz finanšu palielinājumu Eiropas Lauksaimniecības fonda lauku attīstībai (ELFLA) atbalsta īstenošanai. Atbalsta publiskais finansējums sadalīts pa gadiem vienādās daļās:</w:t>
            </w:r>
            <w:r w:rsidR="00000000" w:rsidRPr="00000000" w:rsidDel="00000000">
              <w:rPr>
                <w:sz w:val="24"/>
                <w:rtl w:val="0"/>
              </w:rPr>
              <w:t xml:space="preserve">2023. gadā – 3 000 000 </w:t>
            </w:r>
            <w:r w:rsidR="00000000" w:rsidRPr="00000000" w:rsidDel="00000000">
              <w:rPr>
                <w:sz w:val="24"/>
                <w:i w:val="1"/>
                <w:rtl w:val="0"/>
              </w:rPr>
              <w:t xml:space="preserve">euro</w:t>
            </w:r>
            <w:r w:rsidR="00000000" w:rsidRPr="00000000" w:rsidDel="00000000">
              <w:rPr>
                <w:sz w:val="24"/>
                <w:rtl w:val="0"/>
              </w:rPr>
              <w:t xml:space="preserve">;</w:t>
            </w:r>
            <w:r w:rsidR="00000000" w:rsidRPr="00000000" w:rsidDel="00000000">
              <w:rPr>
                <w:sz w:val="24"/>
                <w:rtl w:val="0"/>
              </w:rPr>
              <w:t xml:space="preserve">2024. gadā – 3 400 000 </w:t>
            </w:r>
            <w:r w:rsidR="00000000" w:rsidRPr="00000000" w:rsidDel="00000000">
              <w:rPr>
                <w:sz w:val="24"/>
                <w:i w:val="1"/>
                <w:rtl w:val="0"/>
              </w:rPr>
              <w:t xml:space="preserve">euro</w:t>
            </w:r>
            <w:r w:rsidR="00000000" w:rsidRPr="00000000" w:rsidDel="00000000">
              <w:rPr>
                <w:sz w:val="24"/>
                <w:rtl w:val="0"/>
              </w:rPr>
              <w:t xml:space="preserve">;</w:t>
            </w:r>
            <w:r w:rsidR="00000000" w:rsidRPr="00000000" w:rsidDel="00000000">
              <w:rPr>
                <w:sz w:val="24"/>
                <w:rtl w:val="0"/>
              </w:rPr>
              <w:t xml:space="preserve">2025. gadā – 3 400 000 </w:t>
            </w:r>
            <w:r w:rsidR="00000000" w:rsidRPr="00000000" w:rsidDel="00000000">
              <w:rPr>
                <w:sz w:val="24"/>
                <w:i w:val="1"/>
                <w:rtl w:val="0"/>
              </w:rPr>
              <w:t xml:space="preserve">euro</w:t>
            </w:r>
            <w:r w:rsidR="00000000" w:rsidRPr="00000000" w:rsidDel="00000000">
              <w:rPr>
                <w:sz w:val="24"/>
                <w:rtl w:val="0"/>
              </w:rPr>
              <w:t xml:space="preserve">;</w:t>
            </w:r>
            <w:r w:rsidR="00000000" w:rsidRPr="00000000" w:rsidDel="00000000">
              <w:rPr>
                <w:sz w:val="24"/>
                <w:rtl w:val="0"/>
              </w:rPr>
              <w:t xml:space="preserve">2026. gadā – 3 400 000 </w:t>
            </w:r>
            <w:r w:rsidR="00000000" w:rsidRPr="00000000" w:rsidDel="00000000">
              <w:rPr>
                <w:sz w:val="24"/>
                <w:i w:val="1"/>
                <w:rtl w:val="0"/>
              </w:rPr>
              <w:t xml:space="preserve">euro</w:t>
            </w:r>
            <w:r w:rsidR="00000000" w:rsidRPr="00000000" w:rsidDel="00000000">
              <w:rPr>
                <w:sz w:val="24"/>
                <w:rtl w:val="0"/>
              </w:rPr>
              <w:t xml:space="preserve">;</w:t>
            </w:r>
            <w:r w:rsidR="00000000" w:rsidRPr="00000000" w:rsidDel="00000000">
              <w:rPr>
                <w:sz w:val="24"/>
                <w:rtl w:val="0"/>
              </w:rPr>
              <w:t xml:space="preserve">2027. gadā – 3 400 000 </w:t>
            </w:r>
            <w:r w:rsidR="00000000" w:rsidRPr="00000000" w:rsidDel="00000000">
              <w:rPr>
                <w:sz w:val="24"/>
                <w:i w:val="1"/>
                <w:rtl w:val="0"/>
              </w:rPr>
              <w:t xml:space="preserve">euro</w:t>
            </w:r>
            <w:r w:rsidR="00000000" w:rsidRPr="00000000" w:rsidDel="00000000">
              <w:rPr>
                <w:sz w:val="24"/>
                <w:rtl w:val="0"/>
              </w:rPr>
              <w:t xml:space="preserve">;</w:t>
            </w:r>
            <w:r w:rsidR="00000000" w:rsidRPr="00000000" w:rsidDel="00000000">
              <w:rPr>
                <w:sz w:val="24"/>
                <w:rtl w:val="0"/>
              </w:rPr>
              <w:t xml:space="preserve">2028. gadā – 3 400 000 </w:t>
            </w:r>
            <w:r w:rsidR="00000000" w:rsidRPr="00000000" w:rsidDel="00000000">
              <w:rPr>
                <w:sz w:val="24"/>
                <w:i w:val="1"/>
                <w:rtl w:val="0"/>
              </w:rPr>
              <w:t xml:space="preserve">euro</w:t>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intervences īstenošanai Zemkopības ministrija pieprasīs normatīvajos aktos noteiktajā kārtībā.</w:t>
      </w:r>
      <w:r w:rsidR="00000000" w:rsidRPr="00000000" w:rsidDel="00000000">
        <w:rPr>
          <w:rtl w:val="0"/>
        </w:rPr>
        <w:t xml:space="preserve">Zemkopības ministrija atbalstu intervences īstenošanai izmaksās no budžeta apakšprogrammas 65.10.00. "Maksājumu iestādes izdevumi Eiropas Lauksaimniecības fonda lauku attīstībai (ELFLA) projektu un pasākumu īstenošanai (2023–2027)".</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2021/2115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73.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73.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(ES) 2021/2115 paredz visus iespējamos pasākumus, kurus var atbalstīt ar Eiropas lauksaimniecības fondu lauku attīstībai starpniecību. Dalībvalstis, ņemot vērā ekonomisko un sociālo situāciju valstī, izvēlas konkrētus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(ES) 2021/2115 dalībvalstīm nosaka rīcības brīvību, ieviešot regulu, tomēr izvēlētajiem nosacījumiem ir jābūt aprakstītiem KLP SP.</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https://tapportals.mk.gov.lv/public_participation/3a37afa8-2dc9-4148-ad64-4109970dd460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līdzdalības iznākumā tika saņemti komentāri no trim nevalstiskajām organizācijām – Jauno zemnieku kluba, Zemnieku federācijas un Lauksaimniecības kooperatīvu asociācijas – un vienas privātpersonas, kuras priekšlikums daļēji tika ņemts vērā. Saņemtie iebildumi un priekšlikumi ir apkopoti un izvērtēti (sk. papildu dokumentus).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vērsts uz lauku teritoriju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atbalsta mērķiem paredz iespēju īstenot ieguldījumus klimata pārmaiņu mazināšanā.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netieši sekmēs vietējās teritorijas attīstību, tostarp sociālekonomiskās situācijas uzlabošanos.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23-TA-168</w:t>
    </w:r>
    <w:r>
      <w:br/>
    </w:r>
    <w:r w:rsidR="00000000" w:rsidRPr="00000000" w:rsidDel="00000000">
      <w:rPr>
        <w:rtl w:val="0"/>
      </w:rPr>
      <w:t xml:space="preserve">Izdrukāts 30.07.2026. 00.12 - 5.0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23-TA-168</w:t>
    </w:r>
    <w:r>
      <w:br/>
    </w:r>
    <w:r w:rsidR="00000000" w:rsidRPr="00000000" w:rsidDel="00000000">
      <w:rPr>
        <w:rtl w:val="0"/>
      </w:rPr>
      <w:t xml:space="preserve">Izdrukāts 30.07.2026. 00.12 - 5.0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anotācija_(ex_ante)_23-TA-168.docx</dc:title>
</cp:coreProperties>
</file>

<file path=docProps/custom.xml><?xml version="1.0" encoding="utf-8"?>
<Properties xmlns="http://schemas.openxmlformats.org/officeDocument/2006/custom-properties" xmlns:vt="http://schemas.openxmlformats.org/officeDocument/2006/docPropsVTypes"/>
</file>