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piešķiršanas kārtība Eiropas Lauksaimniecības fonda lauku attīstībai intervencē "Pārtikas kvalitātes shēmas""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"Atbalsta piešķiršanas kārtība Eiropas lauksaimniecības fonda lauku attīstībai intervencē "Pārtikas kvalitātes shēmas""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valsts un Eiropas Savienības atbalstu kopējās lauksaimniecības politika stratēģiskā plāna 2023.–2027. gadam (turpmāk – KLP SP) intervencē LA18 "Pārtikas kvalitātes shēmas", lai sekmētu lauksaimniecības produktu ražotāja un pārtikas apritē iesaistīta pārstrādes uzņēmuma iesaistīšanos pārtikas kvalitātes shēmās, tā veicinot kvalitatīvu pārtikas produktu ražošanu, apstrādi un pārstrādi un nodrošinot to nokļūšanu mazumtirdzniecībā.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kvalitātes shēmas ir svarīgs sadarbības veids, ar kura palīdzību tiek nodrošināta augsta pārtikas produktu kvalitāte un nekaitīgums, veicināta patērētāju uzticēšanās vietējiem pārtikas produktiem un stimulēta Latvijas pārtikas nozare. Latvijā tiek īstenotas četras pārtikas kvalitātes shēmas, kas darbojas atbilstoši Ministru kabineta 2014. gada 12. augusta noteikumiem Nr. 461 "Prasības pārtikas kvalitātes shēmām, to ieviešanas, darbības, uzraudzības un kontroles kārtība" – bioloģiskās lauksaimniecības shēma, nacionālā pārtikas kvalitātes shēma, aizsargātu ģeogrāfiskās izcelsmes norāžu un aizsargātu cilmes vietas nosaukumu shēma un garantētu tradicionālo īpatnību shēma (turpmāk – pārtikas kvalitātes shēmas).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produktu ražotāji un pārtikas apritē iesaistīti pārstrādes uzņēmumi, kas piedalās pārtikas kvalitātes shēmās, uzņemas papildu saistības, kuru īstenošana rada lielāku viņu produkcijas pievienoto vērtību un veicina ilgtspējīgu un atbildīgu resursu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mudinātu lauksaimniecības produktu ražotājus un pārtikas apritē iesaistītus pārstrādes uzņēmumus aktīvi iesaistīties kvalitātes shēmās, ir nepieciešams finansiāls atbalsts, lai segtu papildu izmaksas par dalību kvalitātes shēmā pirmajos dalības gados. Palielinot to lauksaimnieku skaitu, kas piedalās pārtikas kvalitātes shēmās, tiktu veicināta arī augstas kvalitātes vietējā tirgus produktu ražošana un izveidotas īsās piegādes ķēdes.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dalībai bioloģiskās lauksaimniecības pārtikas kvalitātes shēmā veicinās bioloģiski saražoto un marķēto produktu pieejamību tirdzniecībā, tā sniedzot ieguldījumu bioloģiskās nozares attīstībā un Zaļā kursa mērķa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intervencē LA18 "Pārtikas kvalitātes shēmas" ir lauksaimniecības primāro produktu, tostarp biškopības produktu, ražotājs, kā arī pārtikas apritē iesaistīts uzņēmums, tostarp mājražotājs.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pārtikas kvalitātes shēmām tiek īstenots saskaņā ar KLP SP un regulas 2021/2115 77. pantu "Sadarbība", un šī panta 1. punktā attiecībā uz pārtikas kvalitātes shēmām noteikts, ka dalībvalstis var piešķirt atbalstu, lai veicinātu un atbalstītu kvalitātes shēmas, kuras atzinusi Eiropas Savienība vai dalībvalstis, un to, lai lauksaimnieki tās izmantotu. Šīs regulas 2. pantā arī noteikts, ka dalībvalstij ar atbalsta palīdzību jāveicina jauni sadarbības veidi – lauksaimniecības produktu ražotāju un pārtikas apritē iesaistītu pārstrādes uzņēmumu dalība jaunās pārtikas kvalitātes shēmās, tostarp esošās pārtikas kvalitātes shēmās, ja tiek sākta jauna darbība jeb ieviests jauns produkts.</w:t>
      </w:r>
      <w:r w:rsidR="00000000" w:rsidRPr="00000000" w:rsidDel="00000000">
        <w:rPr>
          <w:b w:val="1"/>
          <w:rtl w:val="0"/>
        </w:rPr>
        <w:t xml:space="preserve"> </w:t>
      </w:r>
      <w:r w:rsidR="00000000" w:rsidRPr="00000000" w:rsidDel="00000000">
        <w:rPr>
          <w:rtl w:val="0"/>
        </w:rPr>
        <w:t xml:space="preserve">Atbilstoši šai prasībai noteikumu projekts paredz, ka atbalsta pretendents ir jābūt uzsākušam dalību vai jābūt dalībniekam kādā no pārtikas kvalitātes shēmām un ka pārtikas kvalitātes shēmā iesaistītie dalībnieki ražo produktus, kas tiks uzskaitīti Lauku atbalsta dienestā izveidota elektroniska produktu uzskaites datu sistēmā. Tajā uzkrātā informācija par produktiem nodrošinās to, ka Eiropas Lauksaimniecības fonda lauku attīstībai atbalstu par dalību pārtikas kvalitātes shēmās par konkrēto produktu nevarēs saņemt ilgāk kā piecus gadus, kā tas ir noteikts KLP SP LA18 "Pārtikas kvalitātes shēmas" intervences aprakstā.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izveidotajā elektroniskajā uzskaites sistēmā tiks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pretendenta vārds un uzvārds, personas kods un deklarētās dzīvesvietas adrese –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 reģistrācijas numurs komercreģistrā un juridiskā adrese –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tālruņa numurs, elektroniskā pasta adrese vai oficiālā elektroniskā adresi, ja tā ir aktivizēta;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kurās pārtikas kvalitātes shēmās atbalsta pretendents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atbalstam pieteiktā produkta nosaukums un sertifikāta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prasība, lai kvalificētos atbalsta saņemšanai nacionālās pārtikas kvalitātes shēmā un lai nodrošinātu regulas 2021/2115 77. panta 2. punktā noteikto attiecībā uz jaunu sadarbību, ir atbalsta pretendenta ne agrāk kā 2023. gadā noslēgts jauns apakšlicences līgums par nacionālās pārtikas kvalitātes shēmas norādes lietošanas tiesībām. Pēc analoģijas aizsargātu ģeogrāfiskās izcelsmes norāžu un aizsargātu cilmes vietas nosaukumu shēmas un garantētu tradicionālo īpatnību shēmas dalībniekiem būs jāpierāda jauna sadarbība, ne agrāk kā 2023. gadā noslēdzot jaunu sadarbības līgumu, lai veicinātu konkrētā pārtikas kvalitātes shēmas produkta laišanu tirgū, nodrošinot produkta nokļūšanu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maksājums tiek piešķirts atkarībā no saražoto produktu skaita, un atbalsta likmes ir aprēķinātas, lai nosegtu sākotnējās dalības izmaksas pārtikas kvalitātes shēmā, gada ieguldījumu dalībai pārtikas kvalitātes shēmā un pārbaužu izmaksas, kas vajadzīgas, lai pārbaudītu atbilstību pārtikas kvalitātes shēmas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summa primāro produktu ražotājiem bioloģiskajā pārtikas kvalitātes, aizsargātu ģeogrāfiskās izcelsmes norāžu un aizsargātu cilmes vietas nosaukumu vai garantētu tradicionālo īpatnību shēmā ir no 340 līdz 590 </w:t>
      </w:r>
      <w:r w:rsidR="00000000" w:rsidRPr="00000000" w:rsidDel="00000000">
        <w:rPr>
          <w:i w:val="1"/>
          <w:rtl w:val="0"/>
        </w:rPr>
        <w:t xml:space="preserve">euro</w:t>
      </w:r>
      <w:r w:rsidR="00000000" w:rsidRPr="00000000" w:rsidDel="00000000">
        <w:rPr>
          <w:rtl w:val="0"/>
        </w:rPr>
        <w:t xml:space="preserve">, nacionālajā pārtikas kvalitātes shēmā – no 250 līdz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summa pārtikas apritē iesaistītiem pārstrādes produktu ražotājiem: bioloģiskajā pārtikas kvalitātes, aizsargātu ģeogrāfiskās izcelsmes norāžu un aizsargātu cilmes vietas nosaukumu vai garantētu tradicionālo īpatnību shēmā – no 430 līdz 7150 </w:t>
      </w:r>
      <w:r w:rsidR="00000000" w:rsidRPr="00000000" w:rsidDel="00000000">
        <w:rPr>
          <w:i w:val="1"/>
          <w:rtl w:val="0"/>
        </w:rPr>
        <w:t xml:space="preserve">euro</w:t>
      </w:r>
      <w:r w:rsidR="00000000" w:rsidRPr="00000000" w:rsidDel="00000000">
        <w:rPr>
          <w:rtl w:val="0"/>
        </w:rPr>
        <w:t xml:space="preserve">, nacionālajā pārtikas kvalitātes shēmā – no 420 līdz 5400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ietverti </w:t>
      </w:r>
      <w:r w:rsidR="00000000" w:rsidRPr="00000000" w:rsidDel="00000000">
        <w:rPr>
          <w:i w:val="1"/>
          <w:rtl w:val="0"/>
        </w:rPr>
        <w:t xml:space="preserve">de minimis</w:t>
      </w:r>
      <w:r w:rsidR="00000000" w:rsidRPr="00000000" w:rsidDel="00000000">
        <w:rPr>
          <w:rtl w:val="0"/>
        </w:rPr>
        <w:t xml:space="preserve"> atbalsta uzskaites un piešķiršanas nosacījumi, jo atbalstu pārtikas apritē iesaistītam pārstrādes uzņēmumam, kas Līguma par Eiropas Savienības darbību I pielikumā noteiktos lauksaimniecības produktus pārstrādā šajā pielikumā neminētos lauksaimniecības produktos, piešķir dotācijas veidā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pārtikas kvalitātes shēmas dalībnieks Lauku atbalsta dienestā iesniedz kontaktinformāciju, informāciju par pārtikas kvalitātes shēmu, kurā ir dalībnieks, un par konkrētajiem produktiem. Nacionālās pārtikas shēmas dalībnieki un aizsargātu ģeogrāfiskās izcelsmes norāžu un aizsargātu cilmes vietas nosaukumu shēmas un garantētu tradicionālo īpatnību shēmas dalībnieki papildus iesniedz informāciju par jauno sadarbību apliecinošajiem līgumiem. </w:t>
      </w:r>
      <w:r w:rsidR="00000000" w:rsidRPr="00000000" w:rsidDel="00000000">
        <w:rPr>
          <w:i w:val="1"/>
          <w:rtl w:val="0"/>
        </w:rPr>
        <w:t xml:space="preserve">De minimis</w:t>
      </w:r>
      <w:r w:rsidR="00000000" w:rsidRPr="00000000" w:rsidDel="00000000">
        <w:rPr>
          <w:rtl w:val="0"/>
        </w:rPr>
        <w:t xml:space="preserve"> atbalsta saņēmēji Lauku atbalsta dienestā iesniedz arī </w:t>
      </w:r>
      <w:r w:rsidR="00000000" w:rsidRPr="00000000" w:rsidDel="00000000">
        <w:rPr>
          <w:i w:val="1"/>
          <w:rtl w:val="0"/>
        </w:rPr>
        <w:t xml:space="preserve">de minimis</w:t>
      </w:r>
      <w:r w:rsidR="00000000" w:rsidRPr="00000000" w:rsidDel="00000000">
        <w:rPr>
          <w:rtl w:val="0"/>
        </w:rPr>
        <w:t xml:space="preserve"> atbalsta uzskaitei un piešķiršanai nepieciešamo veidlapu vai tās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 Lauku atbalsta dienesta rīcība situācijās, kad atbalsta pieprasījums pārsniedz gadam piešķirtā finansējuma apmēru, proti, tad Lauku atbalsta dienests veic norēķinus, proporcionāli samazinot izmaksājamā atbalsta apmēru. Intervencei piešķirtā finansējuma atspoguļojums pa gadiem ir ietverts anotācijas 3. sadaļas "Tiesību akta projekta ietekme uz valsts budžetu un pašvaldību budžetiem" tabulas 6. rādītājā.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 lauksaimniecības produktu ražotājiem un pārtikas apritē iesaistītiem pārtikas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kvalitatīvu pārtikas produktu ražošanu, apstrādi un pārstrādi, kā arī nodrošinās to nokļūšanu mazumtirdzniecībā.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sekmēs augstu pārtikas produktu kvalitāti un nekaitīgumu, ar tā palīdzību tiks veicināta patērētāju uzticēšanās vietējiem pārtikas produktiem un stimulēta Latvijas pārtikas nozare.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atbalsta pretendenti pārsvarā būs mazie un vidējie uzņēmumi, kas produkciju realizē nelielā apjomā, tāpēc noteikumu ietekme uz maziem un vidējiem uzņēmumiem būs pozitīva un tiks veicināta to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un pārtikas nozares uzņēmumu konkurenci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intervences mērķis ir veicināt lauksaimniecības produktu ražotāja un pārtikas apritē iesaistīta pārstrādes uzņēmuma iesaistīšanos pārtikas kvalitātes shēmās un arvien paplašināt katra ražotāja pārtikas kvalitātes shēmās iekļaujamo produktu skaitu un līdz ar to arī atbalsta lielumu, ir sagaidāma noteikumu projekta pozitīva ietekme uz nodarbinātības veicināšanu un nodarbināto skaita pieaugumu pārtikas kvalitātes shēmās iesaistītajos uzņēmumos.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lauksaimniecībā, mežsaimniecībā un zivsaimniecībā (CSP veidlapa DIS 010, par 2022.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sagatavošanai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plānotais atbalsta pretendentu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saņemšanai jāiesniedz  viens iesniegums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kvalitātes shēmu dalībniekam, kas vēlēsies saņemt atbalstu, autorizējoties Lauku atbalsta dienesta elektroniskajā pieteikšanās sistēmā, vienu reizi gadā būs jāiesniedz iesniegums. Iesniegumā jānorāda kontaktinformācija, izvēlnē jāatzīmē pārtikas kvalitātes shēma, kurā ir dalībnieks, kā arī jāieraksta atbalstam pieteiktie produkti un pārtikas kvalitātes shēmas sertifikāta numurs. 
Nacionālajā pārtikas kvalitātes shēmā atbalsta pretendents iesniegumam pievieno apakšlicences līgumu  par nacionālās pārtikas kvalitātes shēmas norādes lietošanas tiesībām. Pēc analoģijas aizsargātu ģeogrāfiskās izcelsmes norāžu un aizsargātu cilmes vietas nosaukumu shēmas un garantētu tradicionālo īpatnību shēmas dalībnieks iesniegumam pievieno sadarbības līgumu, kas noslēgts, lai veicinātu konkrētā produkta laišanu tirgū. Ja atbalsts tiek piešķirts kā de minimis atbalsts, iesniegumam jāpievieno veidlapa par sniedzamo informāciju de minimis atbalsta uzskaitei un piešķiršanai vai jānorāda de minimis atbalsta uzskaites sistēmā izveidotās un apstiprinātās veidlapas identifikācijas numurs. 
Gadā vidēji būs 700 atbalsta pretendentu, kas ir lauksaimniecības produkcijas ražotāji vai pārtikas apritē iesaistīti pārstrādes uzņēmumi.  
Ievērojot iesniedzamo dokumentu skaitu un šajos dokumentos norādāmo informāciju un datu tvērumu, kā arī papildus iesniegumam iesniedzamo dokumentu kopumu, viena dokumenta sagatavošanai patērējamais laiks stundās vidēji var aizņemt vienu stundu. Aprēķinā norādīts 
• iesniedzamo dokumentu skaits vienam atbalsta pretendentam gadā;
 • viena dokumenta sagatavošanai patērējamais laiks stundās – vidēji viena stunda; 
• vienas stundas darbaspēka bruto izmaksas lauksaimniecībā, mežsaimniecībā un zivsaimniecībā (CSP veidlapa DIS 010, par 2022. gadu) – 10,34 euro. 
Plānots, ka piecu gadu periodā Lauku atbalsta dienests ik gadu saņems 700iesniegumu.
Kopējās 700 atbalsta pretendentu administratīvās izmaksas gadā veido 7238,00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1 829 421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1 954 677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2 084 370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1 829 421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1 954 677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2 084 370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2 452 200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2 452 200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norādīto indikatīvo finansējumu un Latvijas Kopējās lauksaimniecības politikas stratēģisko plānu 2023.–2027. gadam intervencei LA18 "Pārtikas kvalitātes shēmas" publiskais finansējums apstiprināts 12 000 000 </w:t>
            </w:r>
            <w:r w:rsidR="00000000" w:rsidRPr="00000000" w:rsidDel="00000000">
              <w:rPr>
                <w:sz w:val="24"/>
                <w:i w:val="1"/>
                <w:rtl w:val="0"/>
              </w:rPr>
              <w:t xml:space="preserve">euro </w:t>
            </w:r>
            <w:r w:rsidR="00000000" w:rsidRPr="00000000" w:rsidDel="00000000">
              <w:rPr>
                <w:sz w:val="24"/>
                <w:rtl w:val="0"/>
              </w:rPr>
              <w:t xml:space="preserve">apmērā (no tā ES līdzfinansējums 85 % jeb 10 200 000 </w:t>
            </w:r>
            <w:r w:rsidR="00000000" w:rsidRPr="00000000" w:rsidDel="00000000">
              <w:rPr>
                <w:sz w:val="24"/>
                <w:i w:val="1"/>
                <w:rtl w:val="0"/>
              </w:rPr>
              <w:t xml:space="preserve">euro </w:t>
            </w:r>
            <w:r w:rsidR="00000000" w:rsidRPr="00000000" w:rsidDel="00000000">
              <w:rPr>
                <w:sz w:val="24"/>
                <w:rtl w:val="0"/>
              </w:rPr>
              <w:t xml:space="preserve">un valsts finansējums 15 % jeb 1 800 000 </w:t>
            </w:r>
            <w:r w:rsidR="00000000" w:rsidRPr="00000000" w:rsidDel="00000000">
              <w:rPr>
                <w:sz w:val="24"/>
                <w:i w:val="1"/>
                <w:rtl w:val="0"/>
              </w:rPr>
              <w:t xml:space="preserve">euro</w:t>
            </w:r>
            <w:r w:rsidR="00000000" w:rsidRPr="00000000" w:rsidDel="00000000">
              <w:rPr>
                <w:sz w:val="24"/>
                <w:rtl w:val="0"/>
              </w:rPr>
              <w:t xml:space="preserve">). 2022. gada 18. janvāra informatīvajā ziņojumā bija norādīts indikatīvs finanšu sadalījums. Ievērojot Eiropas Komisijas iesniegtos apsvērumus par KLP stratēģisko plānu 2023.–2027. gadam, plānā tika izdarīti grozījumi, tostarp finansējuma sadalē starp atsevišķiem pasākumiem jeb intervencēm un finansējums LA18 intervencei "Pārtikas kvalitātes shēmas" tika palielināts līdz 12 301 020 </w:t>
            </w:r>
            <w:r w:rsidR="00000000" w:rsidRPr="00000000" w:rsidDel="00000000">
              <w:rPr>
                <w:sz w:val="24"/>
                <w:i w:val="1"/>
                <w:rtl w:val="0"/>
              </w:rPr>
              <w:t xml:space="preserve">euro</w:t>
            </w:r>
            <w:r w:rsidR="00000000" w:rsidRPr="00000000" w:rsidDel="00000000">
              <w:rPr>
                <w:sz w:val="24"/>
                <w:rtl w:val="0"/>
              </w:rPr>
              <w:t xml:space="preserve">. Finansējums tika samazināts Eiropas Lauksaimniecības fonda lauku attīstībai pasākumam LA9 "Ražotāju grupu un organizāciju izveide". Atbalsta publiskais finansējums sadalīts pa gadiem šādās daļās, kas tālāk veido 85 % ES līdzfinansējumu un 15 % valsts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2 152 260 </w:t>
            </w:r>
            <w:r w:rsidR="00000000" w:rsidRPr="00000000" w:rsidDel="00000000">
              <w:rPr>
                <w:sz w:val="24"/>
                <w:i w:val="1"/>
                <w:rtl w:val="0"/>
              </w:rPr>
              <w:t xml:space="preserve">euro</w:t>
            </w:r>
            <w:r w:rsidR="00000000" w:rsidRPr="00000000" w:rsidDel="00000000">
              <w:rPr>
                <w:sz w:val="24"/>
                <w:rtl w:val="0"/>
              </w:rPr>
              <w:t xml:space="preserve">, t. sk. ES  1 829 421 </w:t>
            </w:r>
            <w:r w:rsidR="00000000" w:rsidRPr="00000000" w:rsidDel="00000000">
              <w:rPr>
                <w:sz w:val="24"/>
                <w:i w:val="1"/>
                <w:rtl w:val="0"/>
              </w:rPr>
              <w:t xml:space="preserve">euro</w:t>
            </w:r>
            <w:r w:rsidR="00000000" w:rsidRPr="00000000" w:rsidDel="00000000">
              <w:rPr>
                <w:sz w:val="24"/>
                <w:rtl w:val="0"/>
              </w:rPr>
              <w:t xml:space="preserve">, valsts 322 839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2 299 620 </w:t>
            </w:r>
            <w:r w:rsidR="00000000" w:rsidRPr="00000000" w:rsidDel="00000000">
              <w:rPr>
                <w:sz w:val="24"/>
                <w:i w:val="1"/>
                <w:rtl w:val="0"/>
              </w:rPr>
              <w:t xml:space="preserve">euro</w:t>
            </w:r>
            <w:r w:rsidR="00000000" w:rsidRPr="00000000" w:rsidDel="00000000">
              <w:rPr>
                <w:sz w:val="24"/>
                <w:rtl w:val="0"/>
              </w:rPr>
              <w:t xml:space="preserve">, t. sk. ES 1 954 677 </w:t>
            </w:r>
            <w:r w:rsidR="00000000" w:rsidRPr="00000000" w:rsidDel="00000000">
              <w:rPr>
                <w:sz w:val="24"/>
                <w:i w:val="1"/>
                <w:rtl w:val="0"/>
              </w:rPr>
              <w:t xml:space="preserve">euro</w:t>
            </w:r>
            <w:r w:rsidR="00000000" w:rsidRPr="00000000" w:rsidDel="00000000">
              <w:rPr>
                <w:sz w:val="24"/>
                <w:rtl w:val="0"/>
              </w:rPr>
              <w:t xml:space="preserve">, valsts 344 943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2 452 200 </w:t>
            </w:r>
            <w:r w:rsidR="00000000" w:rsidRPr="00000000" w:rsidDel="00000000">
              <w:rPr>
                <w:sz w:val="24"/>
                <w:i w:val="1"/>
                <w:rtl w:val="0"/>
              </w:rPr>
              <w:t xml:space="preserve">euro</w:t>
            </w:r>
            <w:r w:rsidR="00000000" w:rsidRPr="00000000" w:rsidDel="00000000">
              <w:rPr>
                <w:sz w:val="24"/>
                <w:rtl w:val="0"/>
              </w:rPr>
              <w:t xml:space="preserve">, t. sk. ES 2 084 370 </w:t>
            </w:r>
            <w:r w:rsidR="00000000" w:rsidRPr="00000000" w:rsidDel="00000000">
              <w:rPr>
                <w:sz w:val="24"/>
                <w:i w:val="1"/>
                <w:rtl w:val="0"/>
              </w:rPr>
              <w:t xml:space="preserve">euro</w:t>
            </w:r>
            <w:r w:rsidR="00000000" w:rsidRPr="00000000" w:rsidDel="00000000">
              <w:rPr>
                <w:sz w:val="24"/>
                <w:rtl w:val="0"/>
              </w:rPr>
              <w:t xml:space="preserve">, valsts 367 830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2 622 180 </w:t>
            </w:r>
            <w:r w:rsidR="00000000" w:rsidRPr="00000000" w:rsidDel="00000000">
              <w:rPr>
                <w:sz w:val="24"/>
                <w:i w:val="1"/>
                <w:rtl w:val="0"/>
              </w:rPr>
              <w:t xml:space="preserve">euro</w:t>
            </w:r>
            <w:r w:rsidR="00000000" w:rsidRPr="00000000" w:rsidDel="00000000">
              <w:rPr>
                <w:sz w:val="24"/>
                <w:rtl w:val="0"/>
              </w:rPr>
              <w:t xml:space="preserve">, t. sk. ES 2 228 853 </w:t>
            </w:r>
            <w:r w:rsidR="00000000" w:rsidRPr="00000000" w:rsidDel="00000000">
              <w:rPr>
                <w:sz w:val="24"/>
                <w:i w:val="1"/>
                <w:rtl w:val="0"/>
              </w:rPr>
              <w:t xml:space="preserve">euro</w:t>
            </w:r>
            <w:r w:rsidR="00000000" w:rsidRPr="00000000" w:rsidDel="00000000">
              <w:rPr>
                <w:sz w:val="24"/>
                <w:rtl w:val="0"/>
              </w:rPr>
              <w:t xml:space="preserve">, valsts 393 327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2 774 760 </w:t>
            </w:r>
            <w:r w:rsidR="00000000" w:rsidRPr="00000000" w:rsidDel="00000000">
              <w:rPr>
                <w:sz w:val="24"/>
                <w:i w:val="1"/>
                <w:rtl w:val="0"/>
              </w:rPr>
              <w:t xml:space="preserve">euro</w:t>
            </w:r>
            <w:r w:rsidR="00000000" w:rsidRPr="00000000" w:rsidDel="00000000">
              <w:rPr>
                <w:sz w:val="24"/>
                <w:rtl w:val="0"/>
              </w:rPr>
              <w:t xml:space="preserve">, t. sk. ES 2 358546 </w:t>
            </w:r>
            <w:r w:rsidR="00000000" w:rsidRPr="00000000" w:rsidDel="00000000">
              <w:rPr>
                <w:sz w:val="24"/>
                <w:i w:val="1"/>
                <w:rtl w:val="0"/>
              </w:rPr>
              <w:t xml:space="preserve">euro</w:t>
            </w:r>
            <w:r w:rsidR="00000000" w:rsidRPr="00000000" w:rsidDel="00000000">
              <w:rPr>
                <w:sz w:val="24"/>
                <w:rtl w:val="0"/>
              </w:rPr>
              <w:t xml:space="preserve">, valsts 416 214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noteikumu projektā plānoto pasākumu īstenošanai Zemkopības ministrija pieprasīs normatīvajos aktos noteiktajā kārtībā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1407/2013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17.3. un 17.4.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17.7. apakšpunkts un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 noteikumu projekts tika ievietots Tiesību aktu TAP portālā publiskai apspriešanai. TAP portālā priekšlikumi par noteikumu projektu netika saņemti, bet tie tika iesūtīti Zemkopības ministrijā vēstuļu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par noteikumu projektu tika saņemti astoņi priekšlikumi. Vienu priekšlikumu iesniedza biedrība "Siera klubs", vienu – biedrība "Salacgrīvas nēģi" un sešus – Latvijas Pārtikas uzņēmumu federācija (turpmāk – LPUF).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projektā sagatavošanā tika ņemts vērā biedrības "Siera klubs" priekšlikums attiecībā uz atbalsta pieejamību visiem pārtikas kvalitātes shēmu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14. septembrī notika tiešsaistes sanāksme ar LPUF pārstāvjiem, un tajā tika lemts par noteikumu projekta tālāku virzību, kā arī ņemts vērā LPUF priekšlikums attiecībā uz atbalsta pieejamību visiem pārtikas kvalitātes shēmu produktiem un pieņemts lēmums nedalīt atbalsta saņēmējus pēc apgrozījuma lieluma. Tā kā tiks veidota jauna pārtikas kvalitātes shēmu produktu uzskaites sistēma, tad priekšlikums par pārejas perioda ieviešanu vairs nav aktuāls. Daļēji tika ņemti vērā un skaidroti divi LPUF priekšlikumi saistībā ar atbalsta summas samazināšanu par vienu nacionālās shēmas produktu, t. i., Zemkopības ministrija skaidroja, ka intervences mērķis ir veicināt lauksaimniecības produktu ražotāja un pārtikas apritē iesaistīta pārstrādes uzņēmuma iesaistīšanos pārtikas kvalitātes shēmās un arvien paplašināt katra ražotāja pārtikas kvalitātes shēmās iekļaujamo produktu skaitu un līdz ar to arī atbalsta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"Salacgrīvas nēģi" un LPUF tika sniegts skaidrojums, ka noteikumu projekts ir sagatavots un atbalstu ir paredzēts piešķirt, pamatojoties uz regulu 2021/2115. Tā kā šī regula aptver vienīgi lauksaimniecības produktus, atbalstu zvejniecības un akvakultūras produktu ražotājiem dalībai pārtikas kvalitātes shēmās ir plānots iekļaut Programmas zivsaimniecības attīstībai 2021.–2027. gadam pasākumā "Tirdzniecības veicināšanas pasākumi".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 izveidotā konkrēto produktu un atbalsta ilguma elektroniskā uzskaites sistēma tiks veidota, izmantojot esošo budžeta līdzekļus, kā arī uzturēta ar esošajiem cilvēkresursiem.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administratīvās izmaksas tā izpildē iesaistītajām institūcijām. Noteikumos ietvertās tiesiskās normas tiks izpildītas par iestāžu esošo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dalībai bioloģiskās lauksaimniecības pārtikas kvalitātes shēmā veicinās bioloģiski saražoto un marķēto produktu pārstrādi un pieejamību tirdzniecībā, tā sniedzot ieguldījumu bioloģiskās nozares attīstībā un Zaļā kursa mērķa izpildē.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5. punkta, Lauku atbalsta dienests atbalstu administrē atbilstoši Ministru kabineta 2023. gada 7. marta noteikumiem Nr. 113 "Valsts un Eiropas Savienības atbalsta piešķiršanas, administrēšanas un uzraudzības vispārējā kārtība lauku un zivsaimniecības attīstībai", un šo noteikumu 12. punktā ir noteikts, kuras prasības Lauku atbalsta dienestam ir jāievēro attiecībā uz fizisko personu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23-TA-1480</w:t>
    </w:r>
    <w:r>
      <w:br/>
    </w:r>
    <w:r w:rsidR="00000000" w:rsidRPr="00000000" w:rsidDel="00000000">
      <w:rPr>
        <w:rtl w:val="0"/>
      </w:rPr>
      <w:t xml:space="preserve">Izdrukāts 29.07.2026. 23.22 - 5.0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23-TA-1480</w:t>
    </w:r>
    <w:r>
      <w:br/>
    </w:r>
    <w:r w:rsidR="00000000" w:rsidRPr="00000000" w:rsidDel="00000000">
      <w:rPr>
        <w:rtl w:val="0"/>
      </w:rPr>
      <w:t xml:space="preserve">Izdrukāts 29.07.2026. 23.22 - 5.0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anotācija_(ex_ante)_23-TA-1480.docx</dc:title>
</cp:coreProperties>
</file>

<file path=docProps/custom.xml><?xml version="1.0" encoding="utf-8"?>
<Properties xmlns="http://schemas.openxmlformats.org/officeDocument/2006/custom-properties" xmlns:vt="http://schemas.openxmlformats.org/officeDocument/2006/docPropsVTypes"/>
</file>