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TA projekts) ir Labklājības ministrijas (turpmāk – LM) iniciatīva un ir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atsevišķus precizējumus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4.3.6.1. pasākums) īstenošanas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Eiropas Savienības (turpmāk – ES) 2021.–2027. fondu plānošanas perioda ietvaros īstenoto projektu ieviešanā, Valdības rīcības plāna 35.4. pasākuma 2. punktā ir noteikts šāds rezultāts “</w:t>
      </w:r>
      <w:r w:rsidR="00000000" w:rsidRPr="00000000" w:rsidDel="00000000">
        <w:rPr>
          <w:i w:val="1"/>
          <w:rtl w:val="0"/>
        </w:rPr>
        <w:t xml:space="preserve">Administratīva sloga mazināšana ESIF[1] projektu finansējuma saņēmējiem projektu ieviešanā: ERAF, ESF Plus, KF[2], Taisnīgas pārkārtošanās fonds; pārskatītas un iespēju robežās mazinātas nacionālajos horizontālajos un specifisko atbalsta mērķu ieviešanu regulējošajos normatīvajos aktos noteiktās prasības</w:t>
      </w:r>
      <w:r w:rsidR="00000000" w:rsidRPr="00000000" w:rsidDel="00000000">
        <w:rPr>
          <w:rtl w:val="0"/>
        </w:rPr>
        <w:t xml:space="preserve">”. Minētais paredz iespēju robežās mazināt šobrīd ar normatīvajiem aktiem noteikto administratīvo slogu ES fondu projekta iesniedzējam projektu iesniegumu sagatavošanā un finansējuma saņēmējam projektu īstenošanā, kā arī par plašāku iespēju ES fondu projektu īstenošanas procesā ieviest pašdeklarācijas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4.3.6.1. pasākuma projektā Nr. 4.3.6.1/1/24/I/001 “</w:t>
      </w:r>
      <w:r w:rsidR="00000000" w:rsidRPr="00000000" w:rsidDel="00000000">
        <w:rPr>
          <w:i w:val="1"/>
          <w:rtl w:val="0"/>
        </w:rPr>
        <w:t xml:space="preserve">Profesionālās kvalifikācijas pilnveide bērnu tiesību aizsardzības jautājumos un bērnu likumisko pārstāvju atbildības stiprināšana</w:t>
      </w:r>
      <w:r w:rsidR="00000000" w:rsidRPr="00000000" w:rsidDel="00000000">
        <w:rPr>
          <w:rtl w:val="0"/>
        </w:rPr>
        <w:t xml:space="preserve">” (turpmāk – 4.3.6.1. pasākuma projekts) (īstenošanas periods no 17.10.2022. līdz 31.12.2029.) no 2024. gada 1. ceturkšņa uzsākta supervīzijas pakalpojuma bāriņtiesas amatpersonām (bāriņtiesas priekšsēdētājiem, bāriņtiesas priekšsēdētāja vietniekiem un bāriņtiesas locekļiem) īstenošana. Pašvaldības organizē (iepērk, t.sk. veic tirgus izpēti, kā arī  priekšfinansē) supervīzijas pakalpojumu bāriņtiesas amatpersonām un Ministru kabineta (turpmāk – MK) 05.12.2023.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MK noteikumi Nr. 724) noteiktajā kārtība pieprasa 4.3.6.1. pasākuma projekta finansējuma saņēmējam – Bērnu aizsardzības centram (turpmāk – BAC) kompensēt supervīzijas pakalpojuma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nolūkā supervīzijas pakalpojuma bāriņtiesas amatpersonām īstenošanas kārtība, ciktāl iespējams, ir saskaņota ar supervīzijas pakalpojuma sociālajiem darbiniekiem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(turpmāk – 4.3.5.4. pasākums) īstenošanas nosacījumos[3] noteikto kārtību. Gan 4.3.6.1. pasākuma projekta, gan 4.3.5.4. pasākuma projekta Nr. 4.3.5.4/1/24/I/001 “</w:t>
      </w:r>
      <w:r w:rsidR="00000000" w:rsidRPr="00000000" w:rsidDel="00000000">
        <w:rPr>
          <w:i w:val="1"/>
          <w:rtl w:val="0"/>
        </w:rPr>
        <w:t xml:space="preserve">Profesionāla un mūsdienīga sociālā darba attīstība</w:t>
      </w:r>
      <w:r w:rsidR="00000000" w:rsidRPr="00000000" w:rsidDel="00000000">
        <w:rPr>
          <w:rtl w:val="0"/>
        </w:rPr>
        <w:t xml:space="preserve">” (īstenošanas periods no 01.09.2022. līdz 12.12.2029.) īstenošanas gaitā secināts, ka kvalitatīvāk un jēgpilnāk supervīzijas mērķi var sasniegt klātienes supervīzijas sesijās. Tiešsaistes supervīzijas sesiju norises apliecinošo dokumentu (t.sk. tiešsaistes videosaziņas servisa ekrānšāviņu un izdruku fiksācija) sagatavošana rada arī administratīvo slogu supervīzijas pakalpojuma sniedzējam un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724 12. punktā noteikts 4.3.6.1. pasākuma projekta iesniedzējs "</w:t>
      </w:r>
      <w:r w:rsidR="00000000" w:rsidRPr="00000000" w:rsidDel="00000000">
        <w:rPr>
          <w:i w:val="1"/>
          <w:rtl w:val="0"/>
        </w:rPr>
        <w:t xml:space="preserve">[..] valsts pārvaldes iestāde, kas nodrošina normatīvo aktu ievērošanas uzraudzību un kontroli bērnu tiesību aizsardzības un bāriņtiesu darbības jomā, – Valsts bērnu tiesību aizsardzības inspekcija"</w:t>
      </w:r>
      <w:r w:rsidR="00000000" w:rsidRPr="00000000" w:rsidDel="00000000">
        <w:rPr>
          <w:rtl w:val="0"/>
        </w:rPr>
        <w:t xml:space="preserve">. Ar 07.12.2023. grozījumiem Bērnu tiesību aizsardzības likumā[4] un MK 19.12.2023. noteikumiem Nr.784 “Bērnu aizsardzības centra nolikums”[5] no 01.01.2024. ir mainīts Valsts bērnu tiesību aizsardzības inspekcijas nosaukums uz Bērnu aizsardzības centrs, vienlaikus precizējot iestādes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ESIF - The European Structural and Investment Funds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ERAF – Eiropas Reģionālās attīstības fonds, ESF – Eiropas Sociālais fonds Plus, KF – Kohēzijas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12.12.2023. noteikumi Nr.751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Pieejams: https://likumi.lv/ta/id/348565-grozijumi-bernu-tiesibu-aizsardzibas-likuma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Pieejams: https://likumi.lv/ta/id/348479-bernu-aizsardzibas-centra-nolikums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2021.–2027. gada plānošanas periodā vērojamas nobīdes plānoto projektu uzsākšanā, īstenošanā un attiecīgi pieejamā ES fondu finansējuma investēšanā. Kā viens no iemesliem minētajām nobīdēm ir administratīvais slogs, ko rada nacionālajos horizontālajos un specifisko atbalsta mērķu ieviešanu regulējošajos normatīvajos aktos noteiktās prasības un ES fondu projekta iesniedzējam un finansējuma saņēmējiem prasītais iesniedzamo dokumentu apjoms. Ar minēto problēmu saskaras 4.3.6.1. pasākuma projekta finansējuma saņēmējs BAC (analoģiski arī 4.3.5.4. pasākuma projekta finansējuma saņēmējs LM). Proti, nesamērīgu laika un cilvēkresursu patēriņu prasa dokumentu pārbaude, lai gūtu pārliecību, ka supervīzijas pakalpojuma sniedzēja piesaistē, t.sk. noslēgtajos iepirkuma līgumos ar supervīzijas pakalpojuma sniedzējiem ir ievērotas normatīvo aktu par publiskajiem iepirkumiem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Supervīzijas būtība ir sniegt konsultatīvu atbalstu jautājumos, kas saistīti ar darbu un profesionālo darbību. Tāpat supervīzijas mērķis ir profesionālā pilnveide, spēju un prasmju attīstība, kā arī refleksija par profesionālajām attiecībām (t.i., savas pieredzes izzināšana, analīze, pārvērtēšana, sakarību atpazīšana u.tml.). Savukārt supervīzijas ieguvumi ir savu nostāju, rīcības un emociju sapratne, atbildības robežu izpratne, labāka otra cilvēka (klienta) izpratne, jaunas idejas tālākai rīcībai, morāls atbalsts, profesionālās izdegšanas novēršana, ētikas ievērošana u.tml. Supervīzijas īstenošanā ļoti būtiska ir emocionālā saikne un savstarpējā uzticībā balstītas attiecības starp supervizoru un supervīzijas dalībnieku. Minētais ir sarežģīti realizējams attālinātā formātā, t.i., izmantojot tiešsaistes videosaziņas servisu. Attālinātā formāta supervīzijām iztrūkst tiešs cilvēciskais kontakts, ko var sniegt klātienes komunikācija un saskarsme, tāpat ir grūtāk novērtēt supervīzijas dalībnieka emocionālo stāvokli, kas ir būtisks aspekts pie “izdegšanas” atpazīšanas. Jāatzīmē, ka prakse supervīzijas īstenošanai attālinātā formātā tika ieviesta ES fondu 2014.–2020. gada plānošanas periodā. Proti,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projekta Nr. 9.2.1.1/15/I/001 "</w:t>
      </w:r>
      <w:r w:rsidR="00000000" w:rsidRPr="00000000" w:rsidDel="00000000">
        <w:rPr>
          <w:i w:val="1"/>
          <w:rtl w:val="0"/>
        </w:rPr>
        <w:t xml:space="preserve">Profesionāla sociālā darba attīstība pašvaldībās</w:t>
      </w:r>
      <w:r w:rsidR="00000000" w:rsidRPr="00000000" w:rsidDel="00000000">
        <w:rPr>
          <w:rtl w:val="0"/>
        </w:rPr>
        <w:t xml:space="preserve">" ietvaros sakarā ar Covid-19 pandēmijas izplatības mazināšanu valstī noteiktajiem pulcēšanās ierobežojumiem. Tādējādi tika nodrošināta supervīzijas nepārtrauktība laikā, kad supervīzija bija īpaši nepieciešama sociālā darba speciālistiem, jo nācās strādāt sarežģītos apstākļos ar palielinātu darba intensitāti un darba ikdiena bija ātri jāpielāgo mainīgiem ārējiem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secināts, ka attālinātas supervīzijas gadījumā, īpaši grupu supervīzijas norises laikā, ir sarežģīti fiksēt dalībnieku identitāti, jo mēdz būt situācijas, kad vairāki supervīzijas dalībnieki izmanto vienu datoru vai viedierīci. Minētais savukārt rada administratīvo slogu gan supervīzijas pakalpojuma sniedzējiem, gan pašvaldībām, gan finansējuma saņēmējam supervīzijas izmaksu kompensācijas pieprasījuma pamatojošās dokumentācijas sagatavošanā un pārbaudē. Taču tā kā individuālās supervīzijas sesijas notiek viens pret viens formātā, šādā gadījumā ir vienkāršāk nodrošināt supervīzijas kvalitāti, personiskā kontakta veidošanos, kā arī emocionālo saikni starp supervizoru un supervīzijas dalībnieku. Tāpat attālināta formāta individuālās supervīzijas sesijā ir vieglāk identificēt supervīzijas dalībnieku indentitāti un nodrošināt supervīzijas norises apliecinošos dokumentus (piemēram, tiešsaistes supervīzijas sesijas ekrānšāviņus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Nr. 724 12. punktā noteiktais 4.3.6.1. pasākuma projekta iesniedzējs (Valsts bērnu tiesību aizsardzības inspekcija) ir pārveidots par Bērnu aizsardzības centru, MK noteikumu Nr. 724 nav noteikts atbilstošs projekta iesniedzējs, kas pēc projekta apstiprināšanas kļūst par finansējuma saņēmēju. Vienlaikus no Bērnu tiesību aizsardzības likuma Pārejas noteikumu 54. punkts izriet, ka līdz ar kārtējiem grozījumiem tiesību aktā, kurā minēta iestāde “Valsts bērnu tiesību aizsardzības inspekcija” ir jāgroza tās nosaukums, to aizstājot ar “Bērnu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Valdības rīcības plāna 35.4. pasākuma 2. punktā noteiktā rezultāta faktisko ieviešanu, samazinot administratīvo slogu finansējuma saņēmējam 4.3.6.1. pasākuma projekta ieviešanas procesā, TA projekts paredz noteikt pašvaldībām pašdeklarācijas principu. Proti, pašvaldībām notikušo supervīziju izmaksu kompensācijas pieprasījumam, ko iesniedz finansējuma saņēmējam, būs jāpievieno apliecinājums, ka supervīzijas pakalpojuma sniedzēja piesaistē, t.sk., iepirkuma līgumos ar supervīzijas pakalpojuma sniedzējiem, ir ievērotas MK noteikumu Nr. 724 prasības. Minētais nozīmē, ka finansējuma saņēmējs neveiks pašvaldību īstenoto iepirkumu un iepirkumu līgumu atbilstības pārbaudi. Ņemot vērā, ka supervīziju izmaksas pašvaldībām finansējuma saņēmējs kompensē atbilstoši LM kā atbildīgās iestādes izstrādātajai</w:t>
      </w:r>
      <w:r w:rsidR="00000000" w:rsidRPr="00000000" w:rsidDel="00000000">
        <w:rPr>
          <w:i w:val="1"/>
          <w:rtl w:val="0"/>
        </w:rPr>
        <w:t xml:space="preserve"> vienības izmaksu standarta likmes aprēķina un piemērošanas metodikai supervīzijas pakalpojuma izmaksām</w:t>
      </w:r>
      <w:r w:rsidR="00000000" w:rsidRPr="00000000" w:rsidDel="00000000">
        <w:rPr>
          <w:rtl w:val="0"/>
        </w:rPr>
        <w:t xml:space="preserve">[1], finansējuma saņēmējs koncentrēsies uz to dokumentu pārbaudi, kas saskaņā ar minēto metodiku ir vienas vienības izmaksas pamatojošie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4.3.6.1. pasākuma ietvaros īstenotās supervīzijas bāriņtiesas amatpersonām sniegtu maksimāli labāko efektu tās dalībniekiem un vienlaikus mazinātu supervīzijas pakalpojuma sniedzēju, pašvaldību un arī finansējuma saņēmēja administratīvo slogu attālinātās supervīzijas norises pamatojošo dokumentu nodrošināšanai, TA projekts paredz, ka, sākot ar 2025. gada 1. janvāri (nepieciešams pārejas posms šīs prasības īstenošanai), 4.3.6.1. pasākuma ietvaros īstenotās grupas, komandas vai organizācijas supervīzijas bāriņtiesas amatpersonām tiks nodrošinātas klātienē. Vienlaikus paredzēts, ka attālināti, izmantojot tiešsaistes videosaziņas servisu, supervīzijas varēs nodrošināt gadījumā, ja valstī būs noteikti pulcēšanās ierobežojumi. Precizējumam par grupas, komandas vai organizācijas supervīzijas īstenošanas pieejas maiņu ir paredzēts pārejas posms, lai iesaistītās puses savlaicīgi varētu sagatavoties supervīzijas pieejas maiņas īstenošanai. Savukārt pašdeklarēšanās principa (t.i., apliecinājuma iesniegšana par supervīzijas pakalpojuma sniedzēja piesaisti) ieviešana atvieglos supervīzijas kompensācijas pieprasījuma izskatīšanu finansējuma saņēmējam un dokumentu iesniegšanu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Supervīziju norise klātienē pamatā tiek organizēta bāriņtiesas telpās, tāpēc supervīzijas dalībniekiem (bāriņtiesas amatpersonām) nerodas papildu ceļa izdevumi nokļūšanai klātienes supervīzijas norises vietā. Gadījumā, ja tas būs nepieciešams ceļa izdevumus uz klātienes supervīzijas norises vietu jānodrošina pašvaldībai (darba 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grozījumi pozitīvi ietekmēs 4.3.6.1. pasākuma projekta mērķi "</w:t>
      </w:r>
      <w:r w:rsidR="00000000" w:rsidRPr="00000000" w:rsidDel="00000000">
        <w:rPr>
          <w:i w:val="1"/>
          <w:rtl w:val="0"/>
        </w:rPr>
        <w:t xml:space="preserve">to speciālistu profesionālās kompetences stiprināšana un darba efektivitātes paaugstināšana, kuru profesionālā darbība saistīta ar bērnu tiesību un tiesisko interešu aizsardzības nodrošināšanu, kā arī bērnu likumisko pārstāvju un audžuģimeņu līdzdalības un atbildības veicināšana bērnu tiesību aizsardzībā</w:t>
      </w:r>
      <w:r w:rsidR="00000000" w:rsidRPr="00000000" w:rsidDel="00000000">
        <w:rPr>
          <w:rtl w:val="0"/>
        </w:rPr>
        <w:t xml:space="preserve">", supervīzijās sniedzot kvalitatīvu konsultatīvu un profesionālu atbalstu bāriņtiesas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 BAC ir informēts par noteikumu projekta virzību un tiks informēts par MK noteikumu Nr. 724 grozījumu apstiprināšanu. Grozījumi starp finansējuma saņēmēju un sadarbības iestādi – Centrālo finanšu un līgumu aģentūru noslēgtajā vienošanās par 4.3.6.1. pasākuma projekta īstenošanu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MK noteikumu Nr. 724 12. punktā, lai nodrošinātu projetka iesniedzēja (finansējuma saņēmēja) nosaukuma un kompetences atbilstību Bērnu tiesību aizsardzības likuma 65.</w:t>
      </w:r>
      <w:r w:rsidR="00000000" w:rsidRPr="00000000" w:rsidDel="00000000">
        <w:rPr>
          <w:vertAlign w:val="superscript"/>
          <w:rtl w:val="0"/>
        </w:rPr>
        <w:t xml:space="preserve">1</w:t>
      </w:r>
      <w:r w:rsidR="00000000" w:rsidRPr="00000000" w:rsidDel="00000000">
        <w:rPr>
          <w:rtl w:val="0"/>
        </w:rPr>
        <w:t xml:space="preserve"> pantā, Bērnu aizsardzības centra nolikumā un Bāriņtiesu likuma [2] 5. panta pirmajā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Vienības izmaksu standarta likmes aprēķina un piemērošanas metodika supervīzijas pakalpojuma izmaksām; pieejams https://www.esfondi.lv/normativie-akti-un-dokumenti/2021-2027-planosanas-periods/vienibas-izmaksu-standarta-likmes-aprekina-un-piemerosanas-metodika-supervizijas-pakalpojuma-izmaksam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https://likumi.lv/ta/id/139369-barintiesu-likums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BAC kā 4.3.6.1. pasākuma finansējuma saņēmējs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mazinās administratīvo slogu gan pašvaldībām, kuru bāriņtiesas amatpersonas piedalīsies supervīzijās 4.3.6.1. pasākuma ietvaros, gan 4.3.6.1. pasākuma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TA projekts paredz pamatā redakcionālus un tehniskus precizējums, kas kopumā nav saistoši plašākai sabiedrības grupai, sabiedrības līdzdalība šajā TA projekta izstrādē netika nodrošināta. Tāpat tika ņemti vērā Valsts kancelejas vadlīnijās “Vadlīnijas sabiedrības līdzdalības nodrošināšanai valsts pārvaldē” ietvertie ieteikumi sabiedrības līdzdalības nepieciešamības noteikšanai, tostarp, kritēriji, pēc kuriem vērtējama sabiedrības līdzdalības nodrošināšanas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BAC,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24-TA-1275</w:t>
    </w:r>
    <w:r>
      <w:br/>
    </w:r>
    <w:r w:rsidR="00000000" w:rsidRPr="00000000" w:rsidDel="00000000">
      <w:rPr>
        <w:rtl w:val="0"/>
      </w:rPr>
      <w:t xml:space="preserve">Izdrukāts 29.07.2026. 22.27 - 2.0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24-TA-1275</w:t>
    </w:r>
    <w:r>
      <w:br/>
    </w:r>
    <w:r w:rsidR="00000000" w:rsidRPr="00000000" w:rsidDel="00000000">
      <w:rPr>
        <w:rtl w:val="0"/>
      </w:rPr>
      <w:t xml:space="preserve">Izdrukāts 29.07.2026. 22.27 - 2.0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anotācija_(ex_ante)_24-TA-1275.docx</dc:title>
</cp:coreProperties>
</file>

<file path=docProps/custom.xml><?xml version="1.0" encoding="utf-8"?>
<Properties xmlns="http://schemas.openxmlformats.org/officeDocument/2006/custom-properties" xmlns:vt="http://schemas.openxmlformats.org/officeDocument/2006/docPropsVTypes"/>
</file>