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Sugu un biotopu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pārvaldes institucionālās sistēmas pilnveidošanu, darbības efektivitāti, optimizāciju un birokrātijas mazināšanu, pieņemts lēmums par Enerģētikas un vides aģentūras (turpmāk – Aģentūra) likvidēšanu, to pievienojot Valsts vides dienestam (turpmāk – Dienests). Atbilstoši izstrādāts un atrodas saskaņošanas procesā Ministru kabineta rīkojuma projekts "Par Enerģētikas un vides aģentūras pievienošanu Valsts vides dienestam" (25-TA-1300)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abu iestāžu funkcijas, secināts, ka abu iestāžu funkciju ietvari izriet no vieniem un tiem pašiem normatīvajiem aktiem, kā arī Eiropas Savienības politika un izrietošais regulējums vides, klimata un enerģētikas jomā arvien vairāk veido sinerģiju. Abas iestādes dala kompetenci ietekmes uz vidi novērtējuma procedūras īstenošanā, rūpniecisko avāriju riska novērtēšanā, degvielas uzpildes staciju kontroles un ogļūdeņražu ieguves uzraudzības jomā, kā arī citās jomās. Attiecīgi ir acīmredzama iespēja koncentrēt iestāžu kompetences un funkcijas, kā arī konsolidēt darba organizāciju, un tādējādi rast resursus  kapacitātes palielināšanai un samazināt administratīvo slogu iestāžu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normatīvajos aktos noteiktajos gadījumos pildīja Dabas aizsardzības pārvaldes augstākas iestādes funkciju administratīvā procesa ietvaros, izskatot apstrīdēšanas iesniegumus par Dabas aizsardzības pārvaldes izdotajiem administratīvajiem aktiem. Sugu un biotopu aizsardzības likums ir viens no tiem normatīvajiem aktiem, kurā ir noteikts Aģentūras uzdevums izskatīt iesniegumus par apstrīdētiem Dabas aizsardzības pārvaldes administratīvajiem aktiem sugu introdukcijas un reintrodukcijas (turpmāk kopā - introdukcija)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Aģentūras funkciju, saistību un tiesību pārņēmējs. Attiecīgi Dienestam būtu jāpārņem arī apstrīdēto administratīvo aktu sugu introdukcijas jomā izskatīšana. Tomēr šāds risinājums nebūtu efektīvs, jo Dienesta kompetence nesaistās ar sugu aizsardzību un tas nepiedalās Sugu un biotopu aizsardzības likumā ietverto pienākumu un tiesību īstenošanas uzraudzībā. Minēto apstrīdēto administratīvo aktu pārskatīšanu efektīvāk var realizēt Dabas aizsardzības pārvaldes ģenerāldirektors kā augstāka amatpersona, kas atbilstu labas pārvaldības, lietderības un administratīvā procesa principiem un vienlaikus ļautu arī Dabas aizsardzības pārvaldes ietvaros veidot vienotu praksi un paaugstināt amatpersonu kvalifikāciju sugu introdukcijas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noregulētu administratīvo aktu sugu introdukcijas jomā apstrīdēšanas kārtību pēc Aģentūras likvidēšanas, un vienlaikus nodrošinātu sabiedrībai skaidri saprotamu regulējumu par iestāžu kompetencēm, izstrādāts likumprojekts "Grozījumi Sugu un biotopu aizsardzības likumā" (turpmāk - Likumprojekts).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atbildīgo institūciju par apstrīdēto lēmumu sugu introdukcijas jomā pārskatīšanu pēc Aģentūras likvidēšanas.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likumā ir noteikta Aģentūras kompetence apstrīdēto Dabas aizsardzības pārvaldes izdoto administratīvo aktu sugu introdukcijas jomā pārskatīšanā. Sugu un biotopu aizsardzības likumā vēl ir minēts Aģentūras iepriekšējais (līdz 2025. gada 30. janvārim) nosaukums - Vides pārraudzības valsts birojs.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Aģentūras pievienošanas Dienestam, Dienestam pārietu Sugu un biotopu aizsardzības likumā iekļautais Aģentūras uzdevums -  apstrīdēto administratīvo aktu sugu introdukcijas jomā izskatīšana. Tomēr šāds risinājums nebūtu efektīvs, jo Dienesta kompetence nesaistās ar sugu aizsardzību.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likuma 20.</w:t>
      </w:r>
      <w:r w:rsidR="00000000" w:rsidRPr="00000000" w:rsidDel="00000000">
        <w:rPr>
          <w:vertAlign w:val="superscript"/>
          <w:rtl w:val="0"/>
        </w:rPr>
        <w:t xml:space="preserve">1 </w:t>
      </w:r>
      <w:r w:rsidR="00000000" w:rsidRPr="00000000" w:rsidDel="00000000">
        <w:rPr>
          <w:rtl w:val="0"/>
        </w:rPr>
        <w:t xml:space="preserve">panta otrā daļa noteic, ka Dabas aizsardzības pārvaldes pieņemto lēmumu par atļaujas izsniegšanu sugu introdukcijai vai atteikumu izsniegt šādu atļauju var apstrīdēt Aģentūrā, savukārt Aģentūras lēmumu var pārsūdzēt administratīvajā tiesā. Likumprojekts paredz grozījumu Sugu un biotopu aizsardzības likuma 20.</w:t>
      </w:r>
      <w:r w:rsidR="00000000" w:rsidRPr="00000000" w:rsidDel="00000000">
        <w:rPr>
          <w:vertAlign w:val="superscript"/>
          <w:rtl w:val="0"/>
        </w:rPr>
        <w:t xml:space="preserve">1</w:t>
      </w:r>
      <w:r w:rsidR="00000000" w:rsidRPr="00000000" w:rsidDel="00000000">
        <w:rPr>
          <w:rtl w:val="0"/>
        </w:rPr>
        <w:t xml:space="preserve">pantā, nosakot, ka turpmāk lēmumus sugu introdukcijas jomā varēs apstrīdēt Dabas aizsardzības pārvaldes ģenerāldirektoram, savukārt tā lēmumu - pārsūdzēt administratīvajā tiesā. Šāds vispārējs administratīvo aktu apstrīdēšanas modelis ir iekļauts Dabas aizsardzības pārvaldes nolikumā (Ministru kabineta 2009. gada 2.jūnija noteikumi Nr.507 "Dabas aizsardzības pārvaldes nolikums" 13.-14. punkts), ka Dabas aizsardzības pārvaldes amatpersonu izdotos administratīvos aktus var apstrīdēt ģenerāldirektoram. Līdzšinējā praksē apstrīdēšanas modelis vērtējams kā efektīvs, un Dienestam nav jābūt par Dabas aizsardzības pārvaldes augstāko iestādi administratīvā procesa ietvaros, lai izskatītu sūdzības par konkrēto jautājumu dabas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Dabas aizsardzības pārvaldes Publiskā gada pārskata datiem 2023. un 2024. gadā netika pieņemti lēmumi par sugu introdukciju. Attiecīgi nav prognozējams Dabas aizsardzības pārvaldes darba apjoma palielinājums. Tomēr, ja būtu nepieciešams šāda lēmuma pārskatīšanu īstenot un pārstāvēt valsti administratīvajā tiesā, tad vienīgi Dabas aizsardzības pārvaldes ekspertiem būtu atbilstoša kompetence pārvērtēt lēmumus par sugu introdukciju, kas ir ļoti specifisks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noteiktības principa ievērošanu un vienotu pieeju par Dabas aizsardzības pārvaldes pieņemtajiem lēmumiem iesniegto apstrīdēšanas iesniegumu izskatīšanā, tiek papildināti Sugu un biotopu aizsardzības likuma pārejas noteikumi. Pārejas noteikums nepieciešams, lai nodrošinātu jau uzsākto lietu, kas ierosinātas saskaņā ar līdzšinējo šā likuma 20.</w:t>
      </w:r>
      <w:r w:rsidR="00000000" w:rsidRPr="00000000" w:rsidDel="00000000">
        <w:rPr>
          <w:vertAlign w:val="superscript"/>
          <w:rtl w:val="0"/>
        </w:rPr>
        <w:t xml:space="preserve">1</w:t>
      </w:r>
      <w:r w:rsidR="00000000" w:rsidRPr="00000000" w:rsidDel="00000000">
        <w:rPr>
          <w:rtl w:val="0"/>
        </w:rPr>
        <w:t xml:space="preserve"> panta otrās daļas redakciju, izskatīšanas nepārtrauktību. Proti, lai arī pēc grozījumu stāšanās spēkā šīs lietas izskatītu institūcija, kurai ar jauno regulējumu paredzēta kompetence attiecīgajā jautājumā - Dabas aizsardzības pārvaldes ģenerāldirektors. Tādejādi tiek nodrošināts procesuālais pēctecīgums.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(komersanti, biedrības), kuras vēlētos veikt sugu introdukciju vai reintrodukciju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būs informētas un skaidri zinās savas tiesības apstrīdēt administratīvos aktus. Sugu introdukcijas jautājumos būs jāsadarbojas tikai ar vienu iestādi.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 jūnija noteikumi Nr. 507 "Dabas aizsardzības pārvaldes nolikums" jau paredz Dabas aizsardzības pārvaldes amatpersonu izdoto administratīvo aktu apstrīdēšanu Dabas aizsardzības pārvaldes ģenerāldirektoram.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Paplašinās Dabas aizsardzības pārvaldes ģenerāldirektora kompetence - ģenerāldirektors izskatīs arī sūdzības par apstrīdētiem lēmumiem sugu introdukcijas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Konsolidējot sugu introdukcijas uzraudzību, tai skaitā lēmumu apstrīdēšanu, vienas iestādes kompetencē, būs iespēja efektīvāk izmantot valsts pārvaldē pieejamos ekspertu resursus.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25-TA-1314</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25-TA-1314</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anotācija_(ex_ante)_25-TA-1314.docx</dc:title>
</cp:coreProperties>
</file>

<file path=docProps/custom.xml><?xml version="1.0" encoding="utf-8"?>
<Properties xmlns="http://schemas.openxmlformats.org/officeDocument/2006/custom-properties" xmlns:vt="http://schemas.openxmlformats.org/officeDocument/2006/docPropsVTypes"/>
</file>