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7. janvāra noteikumos Nr. 24 "Noteikumi par produktivitātes aizdevumiem uzņēmumu inovācijām""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2025. gada 7. janvāra noteikumos Nr. 24 "Noteikumi par produktivitātes aizdevumiem uzņēmumu inovācijām"" (turpmāk - MK noteikumu projekts) izstrādāts, lai precizētu atbalsta saņemšanas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atbalsta programmas nosacījumus t.sk. attiecībā uz pēcuzraudzības kritērijiem un to vērtēšanu, lai nodrošinātu pilnvērtīgu pasākuma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7. janvārī apstiprināja Ministru kabineta noteikumus Nr.24 "Noteikumi par produktivitātes aizdevumiem uzņēmumu inovācijām" (turpmāk - Noteikumi Nr.24), kuru mērķis ir nodrošināt finansējuma pieejamību gala saņēmēju attīstībai Latvijā, sniedzot atbalstu inovatīvu (tai skaitā duāla pielietojuma) produktu, izstrādei, stimulējot privātā sektora ieguldījumus pētniecībā, attīstībā un inovācijās, kas ietver atbalstu jaunu ražošanas ēku izbūvei, iekārtu iegādei un ražošanas pieslēgumu izveidei, kā arī jaunu darba vietu radīšanu viedās specializācijas stratēģijas (RIS3)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Nr.24 ietvaros plānots sniegt atbalstu inovatīvu produktu izstrādei (t.sk. divējāda lietojuma). Inovatīvu produktu izstrādes sadaļā atbalstu primāri plānots sniegt Komisijas 2014. gada 17. jūnija Regulas (ES) Nr. 651/2014, ar ko noteiktas atbalsta kategorijas atzīst par saderīgām ar iekšējo tirgu, piemērojot Līguma 107. un 108. pantu (turpmāk – Komisijas regula Nr. 651/2014) ietvaros. Atbilstoši Noteikumu Nr.24 22.2. apakšpunktam, kā attiecināmās izmaksas ir noteiktas paredzamās algu izmaksas, ko rada sākotnējā ieguldījuma rezultātā radītās jaunās darba vietas, kas izveidotas projekta īstenošanas rezultātā, rēķinot par divu gadu periodu, un ir nepieciešamas darbam ar jauno iekārtu vai ražošanas līniju. Minētais ierobežo paredzamo algu izmaksu attiecināšanu gadījumos, kad projekta darbības ir saistītas ar nemateriāliem aktīviem, proti, programmatūru u.c. Vienlaikus, atbilstoši Noteikumu Nr.24 23.2. apakšpunktam, projekta ietvaros iegādātajiem aktīviem (tai skaitā ēkām un būvēm) ir jābūt jaunām, kas ir attiecināms uz visiem atbalsta saņēmējiem, t.sk.  uz sīkiem (mikro), maziem un vidējiem uzņēmumiem, kas ir ierobežojošs nosacījumus attiecīgā atbalsta saņemšanā.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Nr.24 32. punktam, uz sabiedrības "Altum" aizdevumu ar kapitāla atlaidi vai paralēlo aizdevumu ar kapitāla atlaidi var pretendēt gala saņēmēji, kuri pēc projekta pabeigšanas katra pēcuzraudzības gada beigās ir sasnieguši noteiktos rādītājus. Lai gūtu pilnīgu pārliecību par rādītāju izpildi, Noteikumus Nr.24 nepieciešams papildināt ar Ekonomikas ministrijas tiesībām veikt rādītāju faktiskās izpildes pārbaudi projekta īstenošanas vietā, kā arī lūgt gala saņēmējam skaidrot informāciju attiecībā rādītāju izpildi pamatojošo dokumentāciju.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precizēt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noteikts, ka attiecināmas paredzamās algu izmaksas, ko rada sākotnējā ieguldījuma rezultātā radītās jaunās darba vietas, kas izveidotas projekta īstenošanas rezultātā, rēķinot par divu gadu periodu, un ir nepieciešamas darbam ar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algu izmaksas ir attiecināmas gadījumos, kad sākotnējais ieguldījums tiek veikts materiālajos aktīvos un nemateriālajos aktīvos, kā arī gadījumos, kad ieguldījums tiek veikts tikai materiālajos aktīvos vai tikai nemateriālajos aktīvos, ja šādu ieguldījumu rezultātā tiek radītas jaunas darba vietas, kas saistītas ar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nosacījums par projekta ietvaros iegādātajiem aktīviem. Vispārējais princips, saskaņā ar Komisijas regulas Nr. 651/2014 14. pantu, paredz, ka iegādātajiem aktīviem (tai skaitā ēkām un būvēm) ir jābūt jauniem.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mazo un vidējo uzņēmumu darbības specifiku un investīciju iespējas, Noteikumos Nr.24 tiek noteikts izņēmums, paredzot, ka sīkajam (mikro) komersantam, mazajam komersantam un vidējam komersantam ir pieļaujama aktīvu (tai skaitā ēku un būvju) iegāde, kas nav jauni.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rādītājus kapitāla atlaides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plašāku komersantu dalību atbalsta pasākumā un nodrošinātu samērīgas prasības atbalsta saņēmējiem, ar MK noteikumu projektu tiek mazinātas prasības attiecībā uz kapitāla atlaides rādītāju - gala saņēmēja apgrozījuma apmērs salīdzinājumā ar apgrozījuma apmēru gadā, kad tika pabeigts investīciju projekts, ir vismaz divas reizes lielāks nekā investīciju projekta attiecināmo izmaksu apmērs. Precizējumu mērķis ir novērst pārmērīgi ierobežojošus nosacījumus, kas varētu nepamatoti ierobežot uzņēmumu iespējas pretendēt uz atbalstu. Tiek precizēts Noteikumu Nr.24 32.2. apakšpunkts, nosakot, ka gala saņēmēja apgrozījuma apmērs salīdzinājumā ar apgrozījuma apmēru gadā, kad tika sākts investīciju projekts, ir vismaz divas reizes lielāks kā sabiedrības “Altum” piešķirtā aizdevuma kapitāla atlaides plānotais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32.4. apakšpunkts, nosakot, ka mēneša vidējā bruto darba samaksa darbiniekiem nav mazāka par mēneša vidējās bruto darba samaksas apmēru tautsaimniecībā iepriekšējā gadā, kam piemērots koeficients 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papildināt Ekonomikas ministrijas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pasākuma pārskatāmu uzraudzību, ar MK noteikumu projektu Ekonomikas ministrijai tiek noteiktas tiesības veikt rādītāju faktiskās izpildes pārbaudi projekta īstenošanas vietā, kā arī lūgt gala saņēmējam skaidrot informāciju attiecībā uz šo noteikumu 32. punktā minēto rādītāju izpildi pamatojošo dokumentāciju. Attiecīgi Noteikumi Nr.24 tiek papildināti ar 56.</w:t>
      </w:r>
      <w:r w:rsidR="00000000" w:rsidRPr="00000000" w:rsidDel="00000000">
        <w:rPr>
          <w:vertAlign w:val="superscript"/>
          <w:rtl w:val="0"/>
        </w:rPr>
        <w:t xml:space="preserve">2 </w:t>
      </w:r>
      <w:r w:rsidR="00000000" w:rsidRPr="00000000" w:rsidDel="00000000">
        <w:rPr>
          <w:rtl w:val="0"/>
        </w:rPr>
        <w:t xml:space="preserve">punktu. Minētais ļauj pārliecināties par atbalsta pasākuma mērķu sasniegšanu un sniegtās publiskās finansējuma atbilstīgu un mērķtiecīgu izmantošanu. Lai neradīt papildus administratīvo slogu gala saņēmējiem, informācija gala saņēmējiem tiks pieprasītā tādā apjomā, kas pamatoti nepieciešama rādītāju faktiskās izpildes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citu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precizētas prasības (Noteikumu Nr.24 2.11.2. apakšpunkts) attiecībā uz gala saņēmēja Valsts ieņēmumu dienesta administrēto nodokļu (nodevu) parādu un tā vērtēšanu. Ja gala saņēmējam nodokļu maksātāja reitings ir “A”, tad nodokļu parāda esamības vai neesamības pārbaude netiek veikta. Ja gala saņēmēja nodokļu maksātāja reitings ir “B”, “J”, “C”, “N”, veic nodokļu parāda esamības vai neesamības pārbaudi. Prasības par nodokļu (nodevu) parāda virs 150 euro neesību tiek saglabāta.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pieteikumu saņemšana sabiedrībā “Altum” uzsākta š.g. 14. maija. No š.g. 21.marta notiek divējāda lietojuma inovatīvu produktu izstrādei pieteikumu saņemšana un izskatīšana Aizsardzības ministrijā. Savukārt Latvijas Zinātnes padomē pieteikumu saņemšana un izskatīšana uzsākta 14. maijā.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netiek mainīts kopējais pieejamais finansējums vai sasniedzamie rādītāji. Ņemot vērā minēto, noteikumu projektam nav ietekmes uz finansēšanas līgumu starp sabiedrību „Altum” un Centrālā finanšu un līgumu aģentūru.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tautsaimniecību, jo ar inovācijām, tiek nodrošinātas uz produktivitāti vērstas darbības, kas kāpinās komersantu ražošanas un sniegto pakalpojumu jaudu un veicinās konkurētspējīgākus uzņēmumus starptautiskajā tirgū. Ar MK noteikumu projektu ir pārskatīti kapitāla atlaides kritēriji, nodrošinot vienkāršotāku pieeju atbalsta saņemšanā. Vienlaikus tiek precizēti atbalsta saņemšanas nosacījumi (nodokļu parādu pārbaude, algu izmaksu attiecināšana un aktīvu iegāde), nosakot elastīgāku un samērīgāku pieeju atbalsta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Noteikumos Nr.24 paredzētās investīcijas īstenošanas rezultātā uzņēmējdarbībā palielināsies produktivitāte, konkurētspēja un eksportspēja.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sniegtais atbalsts palīdzēs samazināt ražošanas izmaksas, palielināt uzņēmuma pamatdarbības ekonomisko labumu, kāpinās komersantu ražošanas un sniegto pakalpojumu jaudu un veicinās konkurētspējīgākus uzņēmumus starptautiskajā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Nr.24 tiešā veidā ietekmēs uzņēmumus, jo veicinās mazo un vidējo uzņēmumu produktivitāti, darba ražīgumu un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Nr.24 radīs pozitīvu ietekmi uz nodarbinātību, nodrošinot valsts atbalsta saņemšanas iespējas, kas nepieciešamas uzņēmējdarbības nodrošināšanai un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būs pieejami Tiesību aktu portālā pēc tās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neparedz radīt papildus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25-TA-3111</w:t>
    </w:r>
    <w:r>
      <w:br/>
    </w:r>
    <w:r w:rsidR="00000000" w:rsidRPr="00000000" w:rsidDel="00000000">
      <w:rPr>
        <w:rtl w:val="0"/>
      </w:rPr>
      <w:t xml:space="preserve">Izdrukāts 29.07.2026. 22.53 - 2.0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25-TA-3111</w:t>
    </w:r>
    <w:r>
      <w:br/>
    </w:r>
    <w:r w:rsidR="00000000" w:rsidRPr="00000000" w:rsidDel="00000000">
      <w:rPr>
        <w:rtl w:val="0"/>
      </w:rPr>
      <w:t xml:space="preserve">Izdrukāts 29.07.2026. 22.53 - 2.0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anotācija_(ex_ante)_25-TA-3111.docx</dc:title>
</cp:coreProperties>
</file>

<file path=docProps/custom.xml><?xml version="1.0" encoding="utf-8"?>
<Properties xmlns="http://schemas.openxmlformats.org/officeDocument/2006/custom-properties" xmlns:vt="http://schemas.openxmlformats.org/officeDocument/2006/docPropsVTypes"/>
</file>