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Viesturam Kleinbergam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Interešu konflikta novēršanas likums) 7. panta sestā daļa.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nodrošinātu Interešu konflikta novēršanas likuma 7. panta sestās daļas un 8.</w:t>
      </w:r>
      <w:r w:rsidR="00000000" w:rsidRPr="00000000" w:rsidDel="00000000">
        <w:rPr>
          <w:vertAlign w:val="superscript"/>
          <w:rtl w:val="0"/>
        </w:rPr>
        <w:t xml:space="preserve">1</w:t>
      </w:r>
      <w:r w:rsidR="00000000" w:rsidRPr="00000000" w:rsidDel="00000000">
        <w:rPr>
          <w:rtl w:val="0"/>
        </w:rPr>
        <w:t xml:space="preserve"> panta piektās daļas prasību izpildi un dotu atļauju Pašvaldību finanšu izlīdzināšanas fonda padomes (turpmāk – Padome) loceklim Viesturam Kleinbergam savienot amatu ar citiem papildu ieņemamiem amatiem, kas minēti rīkojuma projekta 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finanšu izlīdzināšanas likuma 11. panta pirmo daļu izlīdzināšanas fonda darbības pārraudzībai Ministru kabinets izveido Padomi. Padomes kompetenci nosaka Ministru kabineta 2016. gada 12. janvāra noteikumi Nr. 25 "Pašvaldību finanšu izlīdzināšanas fonda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likuma 4. panta otro daļu, persona, kura ieņem Padomes locekļa amatu, ir uzskatāma par valsts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19. septembra iesniegumu Viesturs Kleinbergs lūdz atļauju savienot Padomes locekļa amatu ar Rīgas plānošanas reģiona Attīstības padomes locekļa amatu, biedrības "Rīgas un Pierīgas pašvaldību apvienība "Rīgas Metropole"" valdes locekļa amatu, politiskās partijas "Progresīvie" valdes locekļa amatu, biedrības "Latvijas "Aprūpe mājās" asociācija" valdes locekļa amatu, biedrības sabiedriskai iniciatīvai "Civitas" valdes locekļa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loceklim Viesturam Kleinbergam jāsaņem Ministru kabineta atļauja savienot amatus.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 panta sestā daļa noteic, ka šā likuma 4. panta otrajā daļā minētā amatpersona, papildus šā likuma 6. panta ceturtajā daļā minētajiem nosacījumiem var savienot valsts amatpersonas amatu tikai ar amatu arodbiedrībā vai citu amatu, uzņēmuma līguma, pilnvarojuma izpildi vai saimniecisko darbību individuālā komersanta statusā vai reģistrējoties Valsts ieņēmumu dienestā kā saimnieciskās darbības veicējam saskaņā ar likumu "Par iedzīvotāju ienākuma nodokli", ja šī savienošana nerada interešu konfliktu un ir saņemta attiecīgās publiskas personas iestādes vadītāja vai viņa pilnvarotas personas rakstveida atļauja. Saskaņā ar Interešu konflikta novēršanas likuma 8.</w:t>
      </w:r>
      <w:r w:rsidR="00000000" w:rsidRPr="00000000" w:rsidDel="00000000">
        <w:rPr>
          <w:vertAlign w:val="superscript"/>
          <w:rtl w:val="0"/>
        </w:rPr>
        <w:t xml:space="preserve">1</w:t>
      </w:r>
      <w:r w:rsidR="00000000" w:rsidRPr="00000000" w:rsidDel="00000000">
        <w:rPr>
          <w:rtl w:val="0"/>
        </w:rPr>
        <w:t xml:space="preserve"> panta trešo daļu personai, kura vēlas savienot valsts amatpersonas amatu ar citu amatu, un šāda amatu savienošana ir pieļaujama,  saņemot amatpersonas (institūcijas) rakstveida atļauju, ir pienākums pirms amatu savienošanas (uzņēmuma līguma noslēgšanas vai pilnvarojuma uzņemšanās) uzsākšanas rakstveidā iesniegt attiecīgajai amatpersonai (institūcijai) lūgumu atļaut savienot valsts amatpersonas amatu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Padomes locekļa amata pienākumus un V. Kleinberga ieņemto citu amatu pienākumus, secināms, ka amatu savienošana interešu konfliktu nerada, nav pretrunā ar valsts amatpersonai saistošām ētikas normām, kā arī valsts amatpersonas tiešo pienākumu izpildi netraucē.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institūcija, kas saskaņā ar Interešu konflikta novēršanas likuma 7. panta sestās daļas 2. punktu ir kompetenta izsniegt atļauju Padomes locekļa amatu savienot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izpildītu Interešu konflikta novēršanas likuma 8.</w:t>
      </w:r>
      <w:r w:rsidR="00000000" w:rsidRPr="00000000" w:rsidDel="00000000">
        <w:rPr>
          <w:vertAlign w:val="superscript"/>
          <w:rtl w:val="0"/>
        </w:rPr>
        <w:t xml:space="preserve">1</w:t>
      </w:r>
      <w:r w:rsidR="00000000" w:rsidRPr="00000000" w:rsidDel="00000000">
        <w:rPr>
          <w:rtl w:val="0"/>
        </w:rPr>
        <w:t xml:space="preserve"> panta piektās daļas regulējumu, paredzot atļauju V. Kleinbergam savienot Padomes locekļa amatu ar Rīgas plānošanas reģiona Attīstības padomes locekļa amatu, biedrības "Rīgas un Pierīgas pašvaldību apvienība "Rīgas Metropole"" valdes locekļa amatu, politiskās partijas "Progresīvie" valdes locekļa amatu, biedrības "Latvijas "Aprūpe mājās" asociācija" valdes locekļa amatu, biedrības sabiedriskai iniciatīvai "Civitas"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25-TA-2855</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25-TA-2855</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anotācija_(ex_ante)_25-TA-2855.docx</dc:title>
</cp:coreProperties>
</file>

<file path=docProps/custom.xml><?xml version="1.0" encoding="utf-8"?>
<Properties xmlns="http://schemas.openxmlformats.org/officeDocument/2006/custom-properties" xmlns:vt="http://schemas.openxmlformats.org/officeDocument/2006/docPropsVTypes"/>
</file>