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21. maija noteikumos Nr. 301 "Valsts atbalsta piešķiršanas kārtība lauksaimniecības un zivsaimniecības tirgus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2025. gadam un budžeta ietvaru 2025., 2026. un 2027. gadam" Zemkopības ministrijas budžeta apakšprogrammā 21.01.00 "Valsts atbalsts lauksaimniecības un lauku attīstībai" 2025. gadam ir ieplānots finansējums 1 000 000 </w:t>
      </w:r>
      <w:r w:rsidR="00000000" w:rsidRPr="00000000" w:rsidDel="00000000">
        <w:rPr>
          <w:i w:val="1"/>
          <w:rtl w:val="0"/>
        </w:rPr>
        <w:t xml:space="preserve">euro</w:t>
      </w:r>
      <w:r w:rsidR="00000000" w:rsidRPr="00000000" w:rsidDel="00000000">
        <w:rPr>
          <w:rtl w:val="0"/>
        </w:rPr>
        <w:t xml:space="preserve"> apmērā Ministru kabineta 2024. gada 21. maija noteikumos Nr. 301 "Valsts atbalsta piešķiršanas kārtība lauksaimniecības un zivsaimniecības tirgus veicināšanai" paredzētā atbalsta finansēšanai.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sadalīt 2025. gadā piešķirto finansējumu 1 000 000 </w:t>
      </w:r>
      <w:r w:rsidR="00000000" w:rsidRPr="00000000" w:rsidDel="00000000">
        <w:rPr>
          <w:i w:val="1"/>
          <w:rtl w:val="0"/>
        </w:rPr>
        <w:t xml:space="preserve">euro</w:t>
      </w:r>
      <w:r w:rsidR="00000000" w:rsidRPr="00000000" w:rsidDel="00000000">
        <w:rPr>
          <w:rtl w:val="0"/>
        </w:rPr>
        <w:t xml:space="preserve"> apmērā lauksaimniecības un zivsaimniecības tirgus veicināšanas pasākumiem, kā arī precizēt atbalsta piešķiršanas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Ministru kabineta 2024. gada 21. maija noteikumi Nr. 301 "Valsts atbalsta piešķiršanas kārtība lauksaimniecības un zivsaimniecības tirgus veicināšanai" (turpmāk – noteikumi Nr. 301), kuros noteikta atbalsta piešķiršanas kārtība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12. un 35. punkts noteic, ka atbalstu piešķir par laikposmu no 2024. gada 1. februāra līdz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36. punktā ir minētas attiecināmās izmaksas dalībai izstādē vai kopstendā.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40. punktā noteikts, ka pretendentam atbalsta saņemšanai dalībai izstādē vai kopstendā ir jāiesniedz iesniegums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47. punkts noteic, ka atbalstu piekrastes zvejniecības attīstības mārketinga programma īstenošanai piešķir Agroresursu un ekonomikas institūtam.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50. punktā noteikts, ka atbalsta saņēmējs iesniedz Lauku atbalsta dienestā iesniegumu un izdevumu tāmi, lai saņemtu atbalstu piekrastes zvejniecības attīstības mārketinga programma īstenošanai. Savukārt 56.1. apakšpunkts noteic, ka atbalsta saņēmējs par īstenotajiem mārketinga programmas pasākumiem iesniedz pārskatu, kas ir saskaņots ar Zivsaimniecības konsultatīvajā padomē iekļautajām zivsaimniecības nozares nevalstiskajām organizācijām.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301 ir noteikts 2024. gadam piešķirtā finansējuma sadalījums, kā arī visi dokumentu iesniegšanas termiņi 2024.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finansējums, kas noteikts noteikumu Nr. 301 2. punktā 1 163 500 </w:t>
      </w:r>
      <w:r w:rsidR="00000000" w:rsidRPr="00000000" w:rsidDel="00000000">
        <w:rPr>
          <w:i w:val="1"/>
          <w:rtl w:val="0"/>
        </w:rPr>
        <w:t xml:space="preserve">euro</w:t>
      </w:r>
      <w:r w:rsidR="00000000" w:rsidRPr="00000000" w:rsidDel="00000000">
        <w:rPr>
          <w:rtl w:val="0"/>
        </w:rPr>
        <w:t xml:space="preserve"> apmērā, ir jāaizstāj ar 2025. gada finansējuma summu 1 000 000 </w:t>
      </w:r>
      <w:r w:rsidR="00000000" w:rsidRPr="00000000" w:rsidDel="00000000">
        <w:rPr>
          <w:i w:val="1"/>
          <w:rtl w:val="0"/>
        </w:rPr>
        <w:t xml:space="preserve">euro</w:t>
      </w:r>
      <w:r w:rsidR="00000000" w:rsidRPr="00000000" w:rsidDel="00000000">
        <w:rPr>
          <w:rtl w:val="0"/>
        </w:rPr>
        <w:t xml:space="preserve"> apmērā, attiecīgi mainot arī konkrēto pasākumu finansējuma summas (noteikumu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lauksaimniecības un pārtikas sektora pārstāvniecības stendu (turpmāk – kopstends) organizēšanai starptautiskajās izstādēs un dalībai tajās – 450 000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līdzfinansējumam dalībai starptautiskajās lauksaimniecības un pārtikas izstādēs ārvalstīs (turpmāk – izstādes) –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līdzfinansējumam dalībai kopstendos –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piekrastes zvejniecības attīstības mārketinga programmas īstenošanai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katru gadu nebūtu jāgroza attiecīgā gada datumi, ir lietderīgi visā noteikumu Nr. 301 tekstā aizstāt konkrētus gadus ar vārdiem "kārtējais" vai "nākamais" gads (noteikumu projekta 2., 3., 4., 5., 6., 10., 12., 15. un 16.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Kārtējā gada budžeta finansējums ir jāizlieto konkrētā gada laikā, tomēr jāņem vērā, ka izstāžu un kopstendu organizēšana un plānošana notiek vairākus mēnešus uz priekšu. Turklāt arī avansa maksājumi var tikt pārskaitīti vairākus mēnešus uz priekšu, kā arī laikus iegādātas aviobiļetes un rezervētas viesnīcas. Tādēļ veidojas situācijas, kad organizēšanas un plānošanas darbi un izdevumi tiek īstenoti kārtējā gadā par izstādēm, kas notiks nākamajā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Mēdz būt arī situācijas, kad ražotāji piedalās individuālās izstādēs gada sākumā, pirms vēl piešķirta kārtējā gada atbalsta summa, apstiprinot grozījumus noteikumos.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nepārprotami skaidrs, ka atbalsts tiek sniegts par izdevumiem, kas radušies kārtējā gadā, bet paredzēti par izstādēm, kuru norises laiks var būt no kārtējā gada 1. janvāra līdz nākamā gada 1. martam, nepieciešams precizēt noteikumu Nr. 301 12. un 35. punktu (noteikumu projekta 2. un 6.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18. punktā nepieciešams arī pagarināt pārskata iesniegšanas termiņu no 20. aprīļa līdz 1. jūnijam (noteikumu projekta 5. punkts), jo izstādes var notikt līdz 1. martam.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normatīvā akta formulējumā nav noteikts, vai iesniegums atbalsta saņemšanai dalībai izstādē vai kopstendā tiek iesniegts pirms vai pēc dalības pasākumā. Tādējādi Lauku atbalsta dienests pieņēma, ka iesniegumu var iesniegt abējādi, taču atbalsta pretendentiem bija neskaidrības, kad īsti var iesniegt iesniegumu. Tā ka atbalsts ir ikgadējs un katru gadu ir jāsagatavo jauns noteikumu projekts, lai piešķirtu kārtējā gada atbalstu, bet dažas izstādes notiek jau janvārī un februārī,  ir jādod iespēja pretendentiem pieteikties arī pēc dalības izstādē.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nepārprotami skaidrs, ka iesniegumu atbalsta saņemšanai dalībai izstādē vai kopstendā var iesniegt gan pirms, gan pēc dalības pasākumā, nepieciešams precizēt noteikumu Nr. 301 40.1. apakšpunktu un attiecīgi arī 40.1.3. apakšpunktu (noteikumu projekta 9. punkts). Papildus noteikumu projekta 9. punktā precizēti šādi noteikumu Nr. 301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40.1.2. apakšpunktā noteikts, ka tīmekļavietne ir jānorāda tikai dalībai izstādē, nevis kopstendā;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40.1.6. apakšpunktā noteikts, ka eksporta īpatsvars jānorāda tikai pretendentam, kas piesakās uz dalību izstādē, jo šie abi nosacījumi attiecas tikai uz šiem pretendentiem saskaņā ar noteikumu Nr. 301 38.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36. punktā minētās atbalstāmās izmaksas ir noteiktas saskaņā ar Komisijas 2022. gada 14. decembra Regulas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24. panta 4. punktu, kurā ir minētas arī tādas atbalstāmās izmaksas kā "dalības maksa" (atsauces noteikumu Nr. 301 38.1. un 39.1. apakšpunktā). Šāda izmaksu pozīcija noteikumos Nr. 301 nav iekļauta, taču 2024. gada izstāžu dalībnieku pieredze liecina, ka šāda dalības vai reģistrācijas maksa izstādēs tiek prasīta un tā var būt pietiekami prāva.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36. punkts ir jāpapildina ar jaunu izmaksu pozīciju "dalības vai reģistrācijas maksa izstādē" (noteikumu projekta 7. punkts). Attiecīgi arī noteikumu Nr. 301 39.1. un 39.2. apakšpunkts jāpapildina ar 36.1.</w:t>
      </w:r>
      <w:r w:rsidR="00000000" w:rsidRPr="00000000" w:rsidDel="00000000">
        <w:rPr>
          <w:vertAlign w:val="superscript"/>
          <w:rtl w:val="0"/>
        </w:rPr>
        <w:t xml:space="preserve">1</w:t>
      </w:r>
      <w:r w:rsidR="00000000" w:rsidRPr="00000000" w:rsidDel="00000000">
        <w:rPr>
          <w:rtl w:val="0"/>
        </w:rPr>
        <w:t xml:space="preserve"> apakšpunktā minētajām izmaksām (noteikumu projekta 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piekrastes zvejniecības attīstības mārketinga programmu īstenoja Agroresursu un ekonomikas institūts sadarbībā ar biedrību "Mazjūras zvejnieki". 2024. gada septembrī Zemkopības ministrija saņēma vēstuli no biedrības, un tajā norādīts, ka programmas pasākumus lielākoties organizē pati biedrība un ārpakalpojumu sniedzēji, tādēļ šķiet nelietderīgi maksāt 15 % no programmas izmaksām Agroresursu un ekonomikas institūta administratīvajiem izdevumiem.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Jāgroza noteikumu Nr. 301 47. punkts, kā atbalsta saņēmējus norādot nozares pārstāvjus, kuriem ir pietiekama kapacitāte un pieredze mārketinga programmas īstenošanā, nosakot, ka atbalsta pretendents var būt zvejas produktu ražotāju organizācija, kas atzīta saskaņā ar normatīvajiem aktiem par zvejas produktu ražotāju organizācijām, akvakultūras produktu ražotāju organizācijām un starpnozaru organizācijām un darbojas zvejas rajonā Baltijas jūras un Baltijas jūras Rīgas līča piekrastē (noteikumu projekta 11. punkts). Attiecīgi jāgroza arī noteikumu Nr. 301 50., 55. un 56. punkts, aizstājot vārdu "institūts" ar vārdu "pretendents" (noteikumu projekta 12., 14. un 15. punkts). Turklāt ir jāpapildina noteikumu Nr. 301 50.1. apakšpunkta norma, prasot iesniegt aprakstu par pretendentu (noteikumu projekta 12.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noteikumu Nr. 301 39. punktā noteikts, ka atbalstu piešķir dalībai kopstendā, 12. punkts noteic, ka kopstendu organizē Agroresursu un ekonomikas institūts, tomēr 2024. gada atbalsta periodā bija domstarpības par to, vai atbalstu var piešķirt arī par dalību citu institūciju organizētos kopstendos, piemēram, Latvijas Investīciju un attīstības aģentūras kosptendos. Ievērojot ierobežoto finansējumu un ražotāju lielo interesi, ir lietderīgi piešķirt līdzfinansējumu tikai dalībai kopstendos, ko organizē Agroresursu un ekonomikas institūts saskaņā ar noteikumiem Nr. 301, kā arī saskaņā ar normatīvajiem aktiem par valsts atbalstu lauksaimniecībai, kuros arī paredzēts atbalsts Agroresursu un ekonomikas institūtam kopstendu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Nr. 301 39. punktu, nosakot, ka atbalsts pienākas par dalību kopstendā, kas organizēts saskaņā ar noteikumiem Nr. 301 vai ar normatīvajiem aktiem par valsts atbalstu lauksaimniecībai (noteikumu projekta 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piekrastes zvejniecības attīstības mārketinga programmu paredzēts iesniegt un īstenot ražotāju organizācijai, Lauku atbalsta dienestam būs jāizvērtē gan atbalsta pretendents, gan programma, kā arī jāparedz atlases kārtība, ja ir vairāki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pieredze rādīja, ka mārketinga programmas saskaņošana ar Zivsaimniecības konsultatīvajā padomē iekļautajām zivsaimniecības nozares nevalstiskajām organizācijām, kas pārstāv piekrastes zvejniekus, bija formāla un neefektīva.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54. punkts papildināts ar vērtēšanas kārtību (noteikumu projekta 13. punkts) un pielikumā pievienoti atlases kritēriji programmas izvēlei (noteikumu projekta 17. punkts). Programma tiks izvērtēta, pamatojoties uz programmā ietverto informāciju un izmantotajiem datiem, pēc pielikumā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pretendentam ir jānorāda un jāapraksta sava līdzšinējā pieredze mārketinga pasākumu īstenošanā. Ja tiek norādīts vismaz viens īstenotais pasākums, tad par šo kritēriju tiek piešķirti pieci punkti; ja pretendents nav īstenojis nevienu mārketinga pasākumu, tiek piešķirts nulle punktu. Šis ir būtisks kritērijs, kas apliecina pretendenta spēju veiksmīgi organizēt mārketinga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pamatotu programmas nepieciešamību, pretendentam ir jāapraksta tirgus situācija, pamatojoties uz statistikas datiem, nevis tikai uz apgalvojumiem, kas nav pamatoti ar statistikas datiem. Piemēram, apgalvojot, ka ir zems zvejniecības produktu patēriņš, nepieciešams norādīt konkrētus patēriņa datus. Piecus punktus pretendents var iegūt, ja programmā ir ietverts tirgus situācijas apraksts, lielākā daļa apgalvojumi ir pamatoti ar statistikas datiem un no šī tirgus situācijas apraksta izriet nepieciešamība pēc mārketinga programmas īstenošanas. Divus punktus pretendents var iegūt, ja ir izpildīta kaut viena kritērija prasība, bet tirgus situācijas apraksts nav pietiekami izvērsts vai lielākā daļa apgalvojumu nav pamatoti ar statistikas datiem. Nevienu (nulle) punktu pretendents neiegūst, ja tirgus situācija nav aprakstīta un nav norādīts neviens tirgus situāciju raksturojošs rādītājs, kas būtu pamatots ar statistikas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mērķiem jābūt skaidri noteiktiem un pamatotiem ar tirgus situācijas aprakstu, kā arī izmērāmiem. Ja visi kritērija punkti ir izpildīti attiecībā uz visiem programmas mērķiem, pretendents var iegūt piecus punktus. Ja kritērija prasības ir izpildītas daļēji vai nav izpildītas attiecībā uz visiem mērķiem, pretendents iegūst divus punktus. Ja nav ievērota neviena kritērija prasība, pretendents neiegūst nevienu (nulle)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pasākumiem jāatbilst programmā noteiktajiem mērķiem. Piemēram, ja programmas mērķis ir palielināt zvejas produktu patēriņu, tad jābūt pasākumam, kas vērsts tieši uz šī mērķa sasniegšanu. Ja visi pasākumi ir atbilstoši programmas noteiktajiem mērķiem un visiem mērķiem ir atbilstoši pasākumi, pretendents iegūst piecus punktus. Ja kādam mērķim nav atbilstošs pasākums vai kāds pasākums nav atbilstošs programmas mērķiem, pretendents iegūst divus punktus. Savukārt, ja neviens pasākums un mērķis nav savstarpēji atbilstoši, pretendents neiegūst nevienu (nulle)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pasākumiem jābūt saskaņotu pasākumu kopumam, t. i., programma nenozīmē tikai vienu pasākumu vai vairākus pilnīgi atšķirīgus pasākumus. Tiem ir jābūt pietiekami vērienīgiem, lai sasniegtu programmas mērķus. Piemēram, ja mērķis ir izglītot Latvijas bērnus par zvejniecības nozari, tad pasākums vienā skolā nebūs pietiekams, lai sasniegtu programmas mērķi. Ja visas kritērija prasības ir izpildītas, pretendents iegūst piecus punktus. Ja kritērija prasības ir izpildītas daļēji vai nav izpildītas attiecībā uz visiem pasākumiem, pretendents iegūst divus punktus. Ja neviena kritērija prasība nav ievērota, pretendents neiegūst nevienu (nulle)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izdevumu tāmei ir jābūt detalizētai. Nav pieņemama kopējā izdevumu summa vienam pasākumam. Ir jābūt skaidri redzamam, kādas ir pasākuma organizēšanai nepieciešamās izmaksu vienības, vienības cenas un kopējās summas. Ja izdevumu tāmē ir norādītas pasākumu izmaksu vienības un to cenas, pretendents iegūst piecus punktus. Ja ir norādītas vispārīgas izmaksas, kas nav atšifrējamas detalizēti pa vienībām, pretendents neiegūst nevienu (nulle)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301 56.1. apakšpunktā tiek svītrota prasība saskaņot mārketinga programmu ar Zivsaimniecības konsultatīvajā padomē iekļautajām zivsaimniecības nozares nevalstiskajām organizācijām, kas pārstāv piekrastes zvejniekus (noteikumu projekta 15.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Agroresursu un ekonomikas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ražo pārtikas produktus un piedalās izstāžu kopstendos un izstādēs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produktu ražotāju organizācija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Tiešie ieguvēji būs lauksaimniecības un pārtikas produktu ražotāji, kas saņems atbalstu, tā veicinot savu konkurētspēju vietējā un eksporta tirgos. No lauksaimniecības nozares popularizēšanas kampaņām ieguvēji būs visi konkrētās nozares pārstāvji, stiprinot savu konkurētspēju un veicinot ražošanu. Piekrastes zvejniecības attīstības mārketinga programmas izstrādes pasākumā ieguvēji būs visi piekrastes zonas uzņēmumi.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piekrastes zvejniecībai un pārtikas nozarei ir liela nozīme valsts ekonomikā. Tādējādi atbalsta pasākumi šajās nozarēs pozitīvi ietekmēs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mērķis ir palielināt lauksaimniecības, piekrastes zvejniecības un pārtikas nozares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piekrastes zvejniecības nozaru popularizēšana vistiešāk var ietekmēt tieši mazos un vidējos uzņēmumus, kas darbojas šajā nozarē, veicinot to atpazīstamību un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atbalsts veicinās lauksaimniecības, pārtikas un piekrastes zvejniecības nozaru uzņēmumu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lauksaimniecības un piekrastes zvejniecības nozares, tiek saglabāta lauku un piekrastes zonas apdzīvotība un veicināta nodarbinātība laukos un piekrastes zonā.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Agroresursu un ekonomikas institūts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 (Regulārā bruto darba samaksa nostrādātā stundā pārtikas ražošanas nozarē 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starppārskata, pārskata sagatavošanas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stappārskata, pārskata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426,72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Agroresursu un ekonomikas institūts iesniedz iesniegumu, starppārskatu un pārskatu Lauku atbalsta dienestam elektroniskā veidā (noteikumu projekta 3., 4., 5. 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Personas, kas ražo pārtikas produktus un piedalās izstāžu kopstendos un izstādēs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 (Regulārā bruto darba samaksa nostrādātā stundā pārtikas ražošanas nozarē 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informācijas aizpildīšanas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Iespējamais atbalsta 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produktu ražotāji Lauku atbalsta dienesta elektroniskās pieteikšanās sistēmā aizpilda iesniegumu dalībai izstādē vai kopstendā  (noteikumu projekta 9. 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produktu ražotāju 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 (Regulārā bruto darba samaksa nostrādātā stundā zivsaimniecības  nozarē 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un pārskata informācijas aizpildīšanas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Iespējamais atbalsta 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un pārskata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Zvejas produktu ražotāju organizācija Lauku atbalsta dienesta elektroniskās pieteikšanās sistēmā aizpilda iesniegumu mārketinga programmas īstenošanai un pārskatu pēc programmas īstenošanas (noteikumu projekta 12. un 15. punkts).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1 657,80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ietver finansējumu 1 000 000 </w:t>
            </w:r>
            <w:r w:rsidR="00000000" w:rsidRPr="00000000" w:rsidDel="00000000">
              <w:rPr>
                <w:sz w:val="24"/>
                <w:i w:val="1"/>
                <w:rtl w:val="0"/>
              </w:rPr>
              <w:t xml:space="preserve">euro </w:t>
            </w:r>
            <w:r w:rsidR="00000000" w:rsidRPr="00000000" w:rsidDel="00000000">
              <w:rPr>
                <w:sz w:val="24"/>
                <w:rtl w:val="0"/>
              </w:rPr>
              <w:t xml:space="preserve">apmērā šādiem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Latvijas lauksaimniecības un pārtikas sektora pārstāvniecības stendu (turpmāk – kopstends) organizēšanai starptautiskās izstādēs – 450 000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dalībai starptautiskās lauksaimniecības un pārtikas izstādēs ārvalstīs – 200 000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dalībai kopstendos, arī tajos, kas tiek organizēti saskaņā ar normatīvajiem aktiem par valsts atbalstu lauksaimniecībai, – 250 000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piekrastes zvejniecības attīstības mārketinga programmas īstenošanai – 100 000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noteikumu projekta īstenošanai tiks nodrošināts no Zemkopības ministrijas budžeta apakšprogrammā 21.01.00 "Valsts atbalsts lauksaimniecības un lauku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dalībai izstādēs un kopstendos piešķir saskaņā ar šo regulu.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(EK)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dalībai kopstendā un izstādēs lielajiem uzņēmumiem un ražotājiem, kuri ražo produktus, kas nav Līguma par Eiropas Savienības darbību I pielikumā minēto lauksaimniecības un pārtikas produktu sarakstā, piešķir saskaņā ar šīs regulas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ieviestās no Eiropas Savienības tiesību normām izrietošās prasības netiek mainītas.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Nr. 301 39.1.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(EK)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punktā izteiktais noteikumu Nr. 301 39.2.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https://tapportals.mk.gov.lv/public_participation/a0c0948e-2cef-476f-a2f1-84474d7fb1a8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lietas (25-TA-60) publiskās apspriešanas laikā no sabiedrības pārstāvjiem nav saņemti ne iebildumi, ne priekšlikumi, bet izsludinātajā saskaņošanas procesā biedrība "Lauksaimniecības organizāciju sadarbības padome" 12.03.2025. ir izteikusi priekšlikumu, kas iekļauts noteikumu projekta izziņā. Biedrība "Lauksaimniecības organizāciju sadarbības padome" ir informēta par noteikumu projekta gala redakciju un piekrīt tai.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sagatavošanas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Persona, kas sagatavo informāciju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mēnesī pēc noteikumu projekta pieņemšanas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 savā tīmekļvietnē reizi mēnesī publicē informāciju par pieejamo atbalsta summu (noteikumu projekta 6. punkts).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25-TA-60</w:t>
    </w:r>
    <w:r>
      <w:br/>
    </w:r>
    <w:r w:rsidR="00000000" w:rsidRPr="00000000" w:rsidDel="00000000">
      <w:rPr>
        <w:rtl w:val="0"/>
      </w:rPr>
      <w:t xml:space="preserve">Izdrukāts 29.07.2026. 23.49 - 4.0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25-TA-60</w:t>
    </w:r>
    <w:r>
      <w:br/>
    </w:r>
    <w:r w:rsidR="00000000" w:rsidRPr="00000000" w:rsidDel="00000000">
      <w:rPr>
        <w:rtl w:val="0"/>
      </w:rPr>
      <w:t xml:space="preserve">Izdrukāts 29.07.2026. 23.49 - 4.0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anotācija_(ex_ante)_25-TA-60.docx</dc:title>
</cp:coreProperties>
</file>

<file path=docProps/custom.xml><?xml version="1.0" encoding="utf-8"?>
<Properties xmlns="http://schemas.openxmlformats.org/officeDocument/2006/custom-properties" xmlns:vt="http://schemas.openxmlformats.org/officeDocument/2006/docPropsVTypes"/>
</file>