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Patērētāju tiesību aizsardzības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Patērētāju tiesību aizsardzības likumā” (turpmāk – Likumprojekts) izstrādāts, lai nodrošinātu Eiropas Parlamenta un Padomes 2024. gada 13. jūnija Direktīvas (ES) 2024/1799 par kopīgiem noteikumiem preču remontēšanas veicināšanai un ar ko groza Regulu (ES) 2017/2394 un Direktīvas (ES) 2019/771 un (ES) 2020/1828 (turpmāk - Direktīva 2024/1799) prasību pārņemšanu nacionālajos tiesību aktos.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lai uzlabotu patērētāju aizsardzību un veicinātu aprites ekonomiku, vienlaikus veicinot preču remontējamību, t.i. nosakot jaunas prasības attiecībā uz preču remontu, komercgarantiju attiecībā uz ilgizturību, kā arī tiek noteiktas prasības Eiropas remonta informācijas veidlapai (turpmāk -  remonta veidlapa) un Eiropas tiešsaistes platformai remontam (turpmāk - remonta platforma).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30.jūlijā stājās spēkā Direktīva 2024/1799, ko jāsāk piemērot no 2026. gada 31. jūlija. Direktīvas 2024/1799 mērķis uzlabot iekšējā tirgus darbību, vienlaikus panākot augstu patērētāju aizsardzības līmeni, kā arī lielāku apritīgumu ekonomikā. Zaļās pārkārtošanās kontekstā Direktīvas 2024/1799 mērķis ir uzlabot iekšējā tirgus darbību, vienlaikus veicinot ilgtspējīgāku patēriņu un patērētāju iegādāto preču remontu pārdevēja atbildības laikposmā un pēc tā beigām. Attiecīgi, pārņemot Direktīvas 2024/1799 prasības, nepieciešams veikt grozījumus Patērētāju tiesību aizsardzības likumā (turpmāk -  PTAL), papildinot to gan ar jauniem terminiem, gan nosakot papildu pienākumus ražotājiem attiecībā uz remontēšanu, gan nosacījumus remonta veidlapai un remonta platformai.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tiesības Latvijā tiek aizsargātas ar PTAL. Likuma mērķis ir nodrošināt patērētājiem iespēju īstenot un aizsargāt savas likumīgās tiesības, ja tās ir pārkāptas, kā arī aizsargāt patērētāju kolektīvās intereses. Atbilstoši PTAL 24. pantam normatīvajos aktos noteikto patērētāju tiesību aizsardzības uzraudzību un kontroli īsteno Patērētāju tiesību aizsardzības centrs, kā arī citas kompetentas un pilnvarotas valsts iestādes sadarbībā ar pašvaldībām un patērētāju tiesību aizsardzības 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Latvijā nav vienotas sistēmas un nosacījumu attiecībā uz remonta veikšanu. Katrs pakalpojumu sniedzējs informāciju par saviem pakalpojumiem sniedz patērētājiem sev ērtākā un pieņemamākajā veidā. Jānorāda, ka kopš 2023. gada ir izveidota un darbojas digitāla tiešsaistes platforma, kurā apkopota informācija par patērētājiem pieejamiem aprites ekonomikas pakalpojumiem, tostarp remonta pakalpojumu sniedzējiem – </w:t>
      </w:r>
      <w:r w:rsidR="00000000" w:rsidRPr="00000000" w:rsidDel="00000000">
        <w:rPr>
          <w:i w:val="1"/>
          <w:rtl w:val="0"/>
        </w:rPr>
        <w:t xml:space="preserve">https://www.lietovelreiz.lv/lv/karte</w:t>
      </w:r>
      <w:r w:rsidR="00000000" w:rsidRPr="00000000" w:rsidDel="00000000">
        <w:rPr>
          <w:rtl w:val="0"/>
        </w:rPr>
        <w:t xml:space="preserve">, kurā pakalpojumu veicējiem ir brīvprātīga iespēja sniegt informāciju par saviem pakalpojumiem, būtiskiem remonta nosacījumiem un saziņas veidiem. Šī platforma sevī ietver tādu funkcionalitāti pakalpojuma atrašanu pēc lokācijas, bet šobrīd tā neietver, piemēram, Remonta veidlapu. Lai minētā platforma atbilstu visām Direktīvas 2024/1799 prasībām, tai ir nepieciešams vikt pielāgojumus, taču funkcionalitātes pielāgošanai un atbilstības nodrošināšanai nav paredzēts pieprasīt papildus finanšu līdzekļus, līdz ar to šādu izmaiņu veikšana no Ekonomikas ministrijas puses šobrīd nav nodrošināma.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pastāv divi garantiju veidi – t.s. "juridiskā" garantija (2 gadus pēc preces iegādes pārdevējs nodrošina preces atbilstību līguma noteikumiem) un komercgarantija attiecībā uz ilgizturību (nodrošina ražotājs pēc pašiniciatīvas, kad precei ir beidzies iepriekš minētais atbilstības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 preču atbilstību līguma noteikumiem ir noteikti PTAL trešajā nodaļā, ar ko cita starpā tiek regulēti komercgarantijas piemērošanas nosacījumi preču pārdevējiem un ražotājiem, kā arī tiek uzskaitītas gan patērētāju, gan pārdevēju tiesības un pienākumi preces neatbilstības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PTAL 13. panta pirmajai un otrajai daļai, pārdevējam ir pienākums nodrošināt preces atbilstību līguma noteikumiem, kas noslēgts ar patērētāju, kā arī tas ir atbildīgs par jebkuru preces piegādes dienā esošu neatbilstību, kas atklājas divu gadu laikā no preces piegādes dienas. Attiecīgi PTAL nosaka, ka, vienlaicīgi ar preces iegādāšanos, patērētājs iegūst tiesības divu gadu laikā no pirkuma izdarīšanas dienas pieteikt pārdevējam pretenzijas par neatbilstību līguma noteikumiem, un šīs tiesības tiek iegūtas pat tad, ja pārdevējs patērētāju par to neinformē, vai norāda, ka šādas tiesības ir uz laiku, kas ir mazāks par diviem gadiem. Principā šādā veidā patērētājs jebkurai iegādātai precei iegūst “likumisko garantiju” (t.s. juridisko garantiju), kuru nodrošina preces pārdevējs, nevis ražotājs vai importētājs. Savukārt pēc šīs likumiskās divu gadu garantijas, ja precei nav komercgarantijas, tās labošana turpmāk ir veicama tikai par patērētāja līdzekļiem, jo pārdevējam vairs nav pienākuma atbildēt par preces neatbilstību un tās remontēšanu.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PTAL 28. panta pirmā daļa nosaka, ka patērētājs, kuram pārdota līguma noteikumiem neatbilstoša prece, divu gadu laikā no preces iegādes, ir tiesīgs pieprasīt, lai pārdevējs novērš preces neatbilstību līguma noteikumiem, apmaina preci pret tādu, ar kuru būtu nodrošināta atbilstība līguma noteikumiem, attiecīgi samazina preces cenu vai atceļ līgumu un atmaksā patērētājam par preci samaksāto naudas summu (pie nosacījuma, ka pārdevējs veic vismaz vienu no šīm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2024/1799 mērķis ir panākt, ka preces tiek remontētas nevis apmainītas pret jaunām, ja remonta izmaksas nav nesamērīgas, kas attiecīgi turpmāk tiks noteikts par pienākumu ražotājam.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Termini.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2024/1799 2. pants kopumā paredz 12 terminu definēšanu. Lielākā daļa no šiem terminiem jau šobrīd ir definēti citā Eiropas Savienības (turpmāk - ES) tiesību aktā - Eiropas Parlamenta un Padomes Regulā (ES) 2024/1781 (2024. gada 13. jūnijs), ar ko izveido satvaru ekodizaina prasību noteikšanai ilgtspējīgiem produktiem, groza Direktīvu (ES) 2020/1828 un Regulu (ES) 2023/1542 un atceļ Direktīvu 2009/125/EK (turpmāk - Regula), līdz ar to Direktīvā 2024/1799 ir ietverta atsauce uz minēto Regulu.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Attiecīgie termini ir būtiski tieši Direktīvas 2024/1799 kontekstā, lai nerastos atšķirīgas interpretācijas iespējas par to, kas, piemēram, tiek saprasts ar terminu "remontētājs".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PTAL redakcijā lielākā daļa no terminiem jau ir pārņemti ar citu ES tiesību aktu normām, taču papildus ir nepieciešams ieviest astoņus jaunus terminus - </w:t>
      </w:r>
      <w:r w:rsidR="00000000" w:rsidRPr="00000000" w:rsidDel="00000000">
        <w:rPr>
          <w:i w:val="1"/>
          <w:rtl w:val="0"/>
        </w:rPr>
        <w:t xml:space="preserve">"remontētājs", "remontējamības prasības", "remonts", "pilnvarotais pārstāvis", "izplatītājs", "importētājs" </w:t>
      </w:r>
      <w:r w:rsidR="00000000" w:rsidRPr="00000000" w:rsidDel="00000000">
        <w:rPr>
          <w:rtl w:val="0"/>
        </w:rPr>
        <w:t xml:space="preserve">un </w:t>
      </w:r>
      <w:r w:rsidR="00000000" w:rsidRPr="00000000" w:rsidDel="00000000">
        <w:rPr>
          <w:i w:val="1"/>
          <w:rtl w:val="0"/>
        </w:rPr>
        <w:t xml:space="preserve">"pārjaunošana".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PTAL 1. pantu ar jauniem terminiem "</w:t>
      </w:r>
      <w:r w:rsidR="00000000" w:rsidRPr="00000000" w:rsidDel="00000000">
        <w:rPr>
          <w:i w:val="1"/>
          <w:rtl w:val="0"/>
        </w:rPr>
        <w:t xml:space="preserve">remontētājs", "remontējamības prasības", "remonts", "remonta platforma", "pilnvarotais pārstāvis", "izplatītājs", "importētājs" </w:t>
      </w:r>
      <w:r w:rsidR="00000000" w:rsidRPr="00000000" w:rsidDel="00000000">
        <w:rPr>
          <w:rtl w:val="0"/>
        </w:rPr>
        <w:t xml:space="preserve">un </w:t>
      </w:r>
      <w:r w:rsidR="00000000" w:rsidRPr="00000000" w:rsidDel="00000000">
        <w:rPr>
          <w:i w:val="1"/>
          <w:rtl w:val="0"/>
        </w:rPr>
        <w:t xml:space="preserve">"pārjaunošana"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termins "</w:t>
      </w:r>
      <w:r w:rsidR="00000000" w:rsidRPr="00000000" w:rsidDel="00000000">
        <w:rPr>
          <w:i w:val="1"/>
          <w:rtl w:val="0"/>
        </w:rPr>
        <w:t xml:space="preserve">remontētājs</w:t>
      </w:r>
      <w:r w:rsidR="00000000" w:rsidRPr="00000000" w:rsidDel="00000000">
        <w:rPr>
          <w:rtl w:val="0"/>
        </w:rPr>
        <w:t xml:space="preserve">" atbilstoši Direktīvas 2024/1799 2. panta otrajam punktam ir jebkura fiziskā vai juridiskā persona, pārdevēji vai ražotāji, kas saistībā ar tās saimniecisko vai profesionālo darbību sniedz remonta pakalpojumus, kā arī neatkarīgi remonta pakalpojumu sniedzēji un tādi remonta pakalpojumu sniedzēji, kas ir saistīti ar citiem ražotājiem vai pārdevējiem;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termins "</w:t>
      </w:r>
      <w:r w:rsidR="00000000" w:rsidRPr="00000000" w:rsidDel="00000000">
        <w:rPr>
          <w:i w:val="1"/>
          <w:rtl w:val="0"/>
        </w:rPr>
        <w:t xml:space="preserve">remontējamības prasības</w:t>
      </w:r>
      <w:r w:rsidR="00000000" w:rsidRPr="00000000" w:rsidDel="00000000">
        <w:rPr>
          <w:rtl w:val="0"/>
        </w:rPr>
        <w:t xml:space="preserve">" atbilstoši Direktīvas 2024/1799 2. panta vienpadsmitajam punktam ir noteiktām preču un preču ar digitāliem elementiem grupām noteiktās remontējamības prasības, kas noteiktas Eiropas Savienības tiesību aktos. Tās ir prasības attiecībā uz rezerves daļu pieejamību, ar remontu saistīto informāciju, izmantojamiem rīkiem, kā arī prasības, kas atvieglo preču vai preču ar digitāliem elementiem izjaukšanu un remontu;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termins "</w:t>
      </w:r>
      <w:r w:rsidR="00000000" w:rsidRPr="00000000" w:rsidDel="00000000">
        <w:rPr>
          <w:i w:val="1"/>
          <w:rtl w:val="0"/>
        </w:rPr>
        <w:t xml:space="preserve">remonts</w:t>
      </w:r>
      <w:r w:rsidR="00000000" w:rsidRPr="00000000" w:rsidDel="00000000">
        <w:rPr>
          <w:rtl w:val="0"/>
        </w:rPr>
        <w:t xml:space="preserve">" atbilstoši Direktīvas 2024/1799 2. panta trešajam punktam ir remonts, kas definēts Regulas 2. panta 20. punktā, t.i. viena vai vairākas darbības, ko veic, lai defektīvu produktu vai atkritumus atgrieztu stāvoklī, kurā tie atbilst paredzētajam nolūkam;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termins "</w:t>
      </w:r>
      <w:r w:rsidR="00000000" w:rsidRPr="00000000" w:rsidDel="00000000">
        <w:rPr>
          <w:i w:val="1"/>
          <w:rtl w:val="0"/>
        </w:rPr>
        <w:t xml:space="preserve">remonta platforma</w:t>
      </w:r>
      <w:r w:rsidR="00000000" w:rsidRPr="00000000" w:rsidDel="00000000">
        <w:rPr>
          <w:rtl w:val="0"/>
        </w:rPr>
        <w:t xml:space="preserve">" atbilstoši Direktīvas 2024/1799 7. panta pirmajam punktam ir Eiropas tiešsaistes platforma remontam, kurā patērētāji tiek sniegta iespēja atrast remontētājus, tostarp arī atjaunotu preču pārdevējus, defektīvu preču pircējus, vai sabiedrības virzītas remontēšanas iniciatīvas kā remonta kafejnīcas, ja tie ir reģistrējušies remonta platformā savu pakalpojumu sniegšanai. Remonta platformu kopumā veido visu Eiropas Savienības valstu sadaļas, ko izveidojusi Eiropas Komisija, un kurās ir pievienotas hipersaites uz šīm valstu sadaļām. Tās ir pieejamas visās Eiropas Savienības oficiālajās valodās, lai atvieglotu visu dalībvalstu patērētāju iespējas sameklēt sev piemērotāko remontētāju;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termins "</w:t>
      </w:r>
      <w:r w:rsidR="00000000" w:rsidRPr="00000000" w:rsidDel="00000000">
        <w:rPr>
          <w:i w:val="1"/>
          <w:rtl w:val="0"/>
        </w:rPr>
        <w:t xml:space="preserve">pilnvarotais pārstāvis</w:t>
      </w:r>
      <w:r w:rsidR="00000000" w:rsidRPr="00000000" w:rsidDel="00000000">
        <w:rPr>
          <w:rtl w:val="0"/>
        </w:rPr>
        <w:t xml:space="preserve">" atbilstoši Direktīvas 2024/1799 2. panta sestajam punktam ir pilnvarotais pārstāvis, kas definēts Regulas 2. panta 43. punktā, t.i. jebkura fiziska vai juridiska persona, kas iedibināta ES un ir saņēmusi rakstisku ražotāja pilnvaru rīkoties tā vārdā attiecībā uz konkrētiem uzdevumiem, ņemot vērā ražotāja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termins "</w:t>
      </w:r>
      <w:r w:rsidR="00000000" w:rsidRPr="00000000" w:rsidDel="00000000">
        <w:rPr>
          <w:i w:val="1"/>
          <w:rtl w:val="0"/>
        </w:rPr>
        <w:t xml:space="preserve">izplatītājs</w:t>
      </w:r>
      <w:r w:rsidR="00000000" w:rsidRPr="00000000" w:rsidDel="00000000">
        <w:rPr>
          <w:rtl w:val="0"/>
        </w:rPr>
        <w:t xml:space="preserve">" atbilstoši Direktīvas 2024/1799 2. panta astotajam punktam ir izplatītājs, kas definēts Regulas 2. panta 45. punktā, t.i. jebkura fiziska vai juridiska persona piegādes ķēdē, kas nav ražotājs vai importētājs un, kas produktu dara pieejamu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termins "</w:t>
      </w:r>
      <w:r w:rsidR="00000000" w:rsidRPr="00000000" w:rsidDel="00000000">
        <w:rPr>
          <w:i w:val="1"/>
          <w:rtl w:val="0"/>
        </w:rPr>
        <w:t xml:space="preserve">importētājs</w:t>
      </w:r>
      <w:r w:rsidR="00000000" w:rsidRPr="00000000" w:rsidDel="00000000">
        <w:rPr>
          <w:rtl w:val="0"/>
        </w:rPr>
        <w:t xml:space="preserve">" atbilstoši Direktīvas 2024/1799 2. panta septītajam punktam ir pilnvarotais pārstāvis, kas definēts Regulas 2. panta 44. punktā, t.i. jebkura fiziska vai juridiska persona, kas iedibināta ES un kas ESs tirgū laiž kādas trešās valsts produktu;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termins "</w:t>
      </w:r>
      <w:r w:rsidR="00000000" w:rsidRPr="00000000" w:rsidDel="00000000">
        <w:rPr>
          <w:i w:val="1"/>
          <w:rtl w:val="0"/>
        </w:rPr>
        <w:t xml:space="preserve">pārjaunošana</w:t>
      </w:r>
      <w:r w:rsidR="00000000" w:rsidRPr="00000000" w:rsidDel="00000000">
        <w:rPr>
          <w:rtl w:val="0"/>
        </w:rPr>
        <w:t xml:space="preserve">" atbilstoši Direktīvas 2024/1799 2. panta desmitajam punktam ir atjaunošana, kas definēta Regulas 2. panta 18. punktā, t.i. darbības, ko veic, lai sagatavotu, tīrītu, testētu, tehniski apkoptu un vajadzības gadījumā remontētu produktu vai izmestu produktu nolūkā atjaunot tā sniegumu vai funkcionalitāti paredzētajā lietojumā un snieguma diapazonā, kas bija sākotnēji paredzēts projektēšanas posmā, kad produkts tika laists tirgū.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Pārējie Direktīvas 2024/1799 2. pantā ietvertie termini jau ir PTAL esošajā redakcijā, un, ņemot vērā, ka šie termini netiek precizēti, papildus grozījumi attiecībā uz tiem nav nepieciešami.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Preces atbilstība līguma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PTAL 14. panta pirmajā daļā tiek noteikts, prece uzskatāma par atbilstošu līguma noteikumiem, ja tā atbilst vairākām prasībām, tādām kā, ja tā atbilst pārdevēja vai pakalpojuma sniedzēja sniegtajam preces aprakstam, ir derīga mērķiem, kādiem šāda veida preces parasti tiek izmantotas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pašreizējā redakcijā netiek runāts par remontējamības prasībām, līdz ar to ir nepieciešams ietvert atsauci šā panta pirmās daļas astotajā punktā, ka prece tiek uzskatīta par atbilstošu līguma noteikumiem arī tad, ja tai piemīt tādas īpašības attiecībā ne tikai uz ilgizturību, bet arī uz remontējamību.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PTAL 14. panta pirmās daļas 8. punkts tiek papildināts ar vārdu "</w:t>
      </w:r>
      <w:r w:rsidR="00000000" w:rsidRPr="00000000" w:rsidDel="00000000">
        <w:rPr>
          <w:i w:val="1"/>
          <w:rtl w:val="0"/>
        </w:rPr>
        <w:t xml:space="preserve">remontējamību</w:t>
      </w:r>
      <w:r w:rsidR="00000000" w:rsidRPr="00000000" w:rsidDel="00000000">
        <w:rPr>
          <w:rtl w:val="0"/>
        </w:rPr>
        <w:t xml:space="preserve">", tā nodrošinot, ka precei, lai varētu uzskatīt, ka tā atbilst līguma noteikumiem, ir jāpiemīt arī tādai īpašībai, kas attiecas uz tās remontējamību un iespēju attiecīgi patērētājam pieprasīt konkrētās preces remontu, ja tai ES līmenī ir noteiktas remontējamības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līmenī atsevišķām preču kategorijās šobrīd jau ir noteiktas remontējamības prasības, līdz ar to jānorāda, ka visā Likumprojektā attiecināmas prasības par remonta pakalpojumu pieejamību, nodrošinājumu u.tml. attiecas tikai uz precēm, kurām ES līmenī šobrīd ir noteiktas remontējamības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pilnīgu Direktīvas 2024/1799 prasību pārņemšanu, Direktīvas 2024/1799 II pielikums Latvijas likumdošanā tiks pārņemts ar jauniem Ministru kabineta noteikumiem, kuros būs gan uzskaitītas minētās preču kategorijas, gan arī tiks noteikts, kas ir iekļaujams un kā ir jāizskatās remonta veidlapai. Jauni Ministru kabineta noteikumi tiek izdoti, ņemot vērā apsvērumu, ka Eiropas Komisija turpmāk pieņems deleģētos aktus, lai atbilstoši regulatīvajām norisēm ES grozītu Direktīvas 2024/1799 II pielikumu, tā atjauninot sarakstu ar ES tiesību aktiem, kuros tiks noteiktas remontējamības prasības jaunā preču kategorijām. Attiecīgi, lai pie šādām izmaiņām nebūtu regulāri jāveic grozījumi PTAL, šīs prasības tiek ietvertas Ministru kabineta noteikumos, kuri izdoti uz PTAL pamata.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Eiropas remonta informācijas veidlapa (remonta veidlapa).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pašlaik Latvijas likumdošanā netiek regulēti remonta pakalpojumu jautājumi, kā arī nav noteiktas nekādas prasības remonta darbību veikšanai un veicināšanai, situācijā, kad patērētājs izlemj par labu remonta veikšanai, viņš pats vēršas pie preces pārdevēja, lai novērstu preces neatbilstību līguma noteikumiem, kas parasti tiek darīts tā saucamās "juridiskās" - 2 gadu - garantijas laikā. Citās situācijās patērētājs ar savu sabojāto preci meklē kādu citu remonta pakalpojumu sniedzēju, kurš preci var saremontēt par atsevišķu samaksu. Lai šādus pakalpojumu sniedzējus atrastu, patērētājam pašam ir jāmeklē informācija, jānoskaidro remonta izmaksas un citu ar remontu saistīto informāciju, lai pieņemtu izsvērtu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remontu un atvieglotu patērētāju izvēli par labu tiem, būtu nepieciešams nodrošināt patērētājiem, pēc to pieprasījuma, iespēju iepazīties ar konkrētā remonta pakalpojumu sniedzēja piedāvātajiem pakalpojumiem, cenām un citu svarīgo informāciju, lai tā nav manuāli jāmeklē vai jājautā pakalpojumu sniedzējam, ņemot vērā, ka daudzi remontu veidi noteiktām precēm tiek veikti regulāri, līdz ar to arī paredzamais remonta izpildes laiks, pakalpojuma cena bieži vien ir identiska dažādās situācijās. Laika taupīšanas un ērtuma nolūkos šādu informāciju pakalpojumu sniedzējs var jau sagatavot iepriekš un izsniegt to patērētājam pēc pieprasījuma uz vienotas remonta veidlapas, kuras formu un saturu ir izstrādājusi Eiropas Komisija, tā nodrošinot, ka visās ES dalībvalstīs šajās veidlapās tiek piedāvāta vienāds informācijas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šādas veidlapas izsniegšana, ņemot vērā, ka tās sagatavošanas, izprintēšana un akltualizēšana rada papildus administratīvo slogu remontētājiem, izsniedzama brīvprātīgi, ja remontētājs ir apņēmies tādu sagatavot, ievērojot visas tam noteiktās prasības attiecībā uz šīm remonta veidlapām, un, ja patērētājs vispār to pieprasa izsniegt. Attiecīgi remontētājam nav pienākums šo veidlapu izsniegt, ja viņš tādu nav sagatavojis, bet, ja tas ir uzņēmies šādu veidlapu izsniegt, tai ir jāatbilst Direktīvā 2024/1799 noteiktajām prasībām uz tajā iekļaujamo informāciju.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PTAL tiek papildināts ar IV</w:t>
      </w:r>
      <w:r w:rsidR="00000000" w:rsidRPr="00000000" w:rsidDel="00000000">
        <w:rPr>
          <w:vertAlign w:val="superscript"/>
          <w:rtl w:val="0"/>
        </w:rPr>
        <w:t xml:space="preserve">2</w:t>
      </w:r>
      <w:r w:rsidR="00000000" w:rsidRPr="00000000" w:rsidDel="00000000">
        <w:rPr>
          <w:rtl w:val="0"/>
        </w:rPr>
        <w:t xml:space="preserve"> nodaļu, kuras viens no jaunieviestajiem pantiem - 21.</w:t>
      </w:r>
      <w:r w:rsidR="00000000" w:rsidRPr="00000000" w:rsidDel="00000000">
        <w:rPr>
          <w:vertAlign w:val="superscript"/>
          <w:rtl w:val="0"/>
        </w:rPr>
        <w:t xml:space="preserve">6</w:t>
      </w:r>
      <w:r w:rsidR="00000000" w:rsidRPr="00000000" w:rsidDel="00000000">
        <w:rPr>
          <w:rtl w:val="0"/>
        </w:rPr>
        <w:t xml:space="preserve"> pants - nosaka prasības attiecībā uz remonta veidlapu un patērētāju informēšanu, izmantojot šo remonta veidlapu.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noteikts, ka pēc patērētāja pieprasījuma remontētāji </w:t>
      </w:r>
      <w:r w:rsidR="00000000" w:rsidRPr="00000000" w:rsidDel="00000000">
        <w:rPr>
          <w:b w:val="1"/>
          <w:rtl w:val="0"/>
        </w:rPr>
        <w:t xml:space="preserve">brīvprātīgi </w:t>
      </w:r>
      <w:r w:rsidR="00000000" w:rsidRPr="00000000" w:rsidDel="00000000">
        <w:rPr>
          <w:rtl w:val="0"/>
        </w:rPr>
        <w:t xml:space="preserve">var izsniegt remonta veidlapu, nodrošinot tās izsniegšanu </w:t>
      </w:r>
      <w:r w:rsidR="00000000" w:rsidRPr="00000000" w:rsidDel="00000000">
        <w:rPr>
          <w:b w:val="1"/>
          <w:rtl w:val="0"/>
        </w:rPr>
        <w:t xml:space="preserve">bez maksas</w:t>
      </w:r>
      <w:r w:rsidR="00000000" w:rsidRPr="00000000" w:rsidDel="00000000">
        <w:rPr>
          <w:rtl w:val="0"/>
        </w:rPr>
        <w:t xml:space="preserve"> un saprātīgā laika posmā, izmantojot pastāvīgu informācijas nesēju, pirms patērētājam kļūst saistošs līgums par remonta pakalpojumu sniegšanu. Informācija ir sniedzama skaidrā un saprotamā veidā, saskaņā ar ES noteiktajām piekļūstamības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ja rodas situācijas, kad remontētājam ir jāveic kādi diagnostikas pakalpojumi (kas ietver ne tikai defekta diagnostiku, bet arī darbaspēka, transportēšanas un citas saistītās izmaksas), remontētājs var pieprasīt patērētājam segt radušās izmaksas, par tām informējot patērētāju, pirms diagnostikas pakalpojuma pieprasīšanas un remonta veidlapas izsniegšanas. Attiecīgi, remonta veidlapas izsniegšanas bez maksas neattiecas uz gadījumiem, kad ir nepieciešams veikt fizisku vai attālinātu diagnostiku, lai noteiktu defekta veidu.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Patērētājs var neizvēlēties veikt diagnostikas pakalpojumu, ja tas uzskata, ka diagnostikas pakalpojuma saņemšanas izmaksas ir pārāk augstas.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patērētājam, pēc tā pieprasījuma, ir pieejama pilnīga un korekta informācija par remontētāja sniegto remonta pakalpojumu, tiek noteikts, ka remonta veidlapā ir norādāma visa aktuālā informācija par attiecīgās preces remonta pakalpojuma galvenajām īpašībām.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Remontētājs nedrīkst mainīt remonta veidlapā norādītos remonta nosacījumus 30 kalendārās dienas no brīža, kad remonta veidlapa izsniegta patērētājam, taču likuma normas neaizliedz remontētājam un patērētājam vienoties par garāku remonta veidlapas derīguma termiņu, ja piedāvātie nosacījumi ir samērīgi un abām pusēm pieņemami. Par attiecīgo termiņa pagarinājumu puses vienojas pirms remontēšanas līguma noslēgšanas un remonta veidlapas izsniegšanas, tādējādi aizsargājot patērētāja tiesības uz godīga pakalpojuma saņemšanu.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norādām, ka Ministru kabineta noteikumos, kuri tiks izdoti uz PTAL pamata un kas precizēs dažādus preču remontēšanas aspektus, tiks noteikts, ka remonta veidlapas derīguma termiņš nav mazāks par 30 kalnendārajām dienām.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Remonta veidlapā iekļaujamā informācija tiek noteikta ar Ministru kabineta noteikumiem, tajos ne tikai nosakot nepieciešamo, sniedzamo obligāto informāciju, bet arī minēto noteikumu pielikumā pievienojot remonta veidlapas paraugu, ko ir izstrādājusi Eiropas Komisija un, kas ir harmonizēta ES līmenī. Minētie nosacījumi un remonta veidlapas paraugs tiek noteikti ar Ministru kabineta noteikumiem, ņemot vērā, ka Eiropas Komisija ir informējusi, ka laika gaitā veidlapā iekļaujamās informācijas saturs un tās vizuālais izskats var tiks mainīts un pielāgots atbilstoši pastāvošajai situācijai remonta pakalpojumu sniegšanas jomā. Iekļaujot šo informāciju Ministru kabineta noteikumos, pie iespējamām izmaiņām, veikt attiecīgus grozījumus Ministru kabineta noteikumos būs vienkāršāk un jēgpilnāk, negrozot PTAL. Grozījumi, ja tādi tiks veikti, nevarēs tikt veikti ar atšķirīgu pieeju no ES līmenī noteiktā - Ministru kabineta noteikumos attiecībā uz remonta veidlapas formu un saturu netiks paredzētas papildu prasības, kas pārsniedz Direktīvas 2024/1799 1. pielikumā noteikto.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Eiropas tiešsaistes platforma remontam.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remonta pakalpojumu sniedzēji savus pakalpojumus var reklamēt paši savās tīmekļa vietnēs, aprites ekonomikas pakalpojumu digitālajā tiešsaistes platformā Lietovelreiz.lv (</w:t>
      </w:r>
      <w:r w:rsidR="00000000" w:rsidRPr="00000000" w:rsidDel="00000000">
        <w:rPr>
          <w:i w:val="1"/>
          <w:rtl w:val="0"/>
        </w:rPr>
        <w:t xml:space="preserve">https://lietovelreiz.lv/lv/karte</w:t>
      </w:r>
      <w:r w:rsidR="00000000" w:rsidRPr="00000000" w:rsidDel="00000000">
        <w:rPr>
          <w:rtl w:val="0"/>
        </w:rPr>
        <w:t xml:space="preserve">), pastāvīgajās to atrašanās vietās (remontu servisa telpās) vai izmantojot citus tiem pieejamos informācijas kanālus. Taču, izvērtējot pašreizējo tirgus praksi ir skaidrs, ka patērētājam, ja tam ir nepieciešams veikt remontu, informācija ir jāmeklē pašam, apstaigājot vai apzvanot remontētājus, vai apmeklējot to tīmekļa vietnes u.tml., kas ir laikietilpīgs process. No patērētāja viedokļa ērtāk remonta pakalpojumus, to piedāvājumu, cenas un citus aspektus būtu ērtāk aplūkot vienuviet, ar iespēju atlasīt sev vajadzīgo, tā taupot gan laiku, gan nodrošinot iespēju uzreiz salīdzināt vairāku remonta pakalpojumu sniedzēju sniegtās iespējas, alternatīvi kā tas šobrīd norisinās, piemēram, sludinājumu portālos, izmantojot dažādas atlases un meklēšanas funkcijas vienuviet.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remonta pakalpojumu popularitāti un atvieglotu patērētāju iespējas sameklēt sev piemērotāko remonta pakalpojumu sniedzēju, pēc iespējas saīsinot meklēšanas un atlases laiku, būtu nepieciešams nodrošināt vienotu tiešsaistes tīmekļa vietni, kur remontētāji var reklamēt savus pakalpojumus, informēt par to pieejamību, izmaksām un citiem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tiešsaistes tīmekļa vietne vai līdzvērtīgs tehnoloģiskais rīks palīdzētu patērētājiem izvērtēt un salīdzināt dažādu remonta pakalpojumu sniedzēju priekšrocības, tādējādi mudinot patērētājus izvēlēties remontu. Ņemot vērā nepieciešamību šāda pakalpojuma izveidei, Eiropas Komisija izveido vienotu tiešsaistes platformu visām ES dalībvalstīm, kur katrai no tām tiks nodrošināta sava, individuālā valsts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nacionālās valsts sadaļas nosacījumus un tajā iekļaujamo informāciju, kas būs jānorāda remontētājiem, kuri izvēlēsies šajā platformā reģistrēties, nosaka Ministru kabinets (ar iepriekš minētajiem Ministru kabineta noteikumiem, kuros tiks noteiktas prasības, kā arī paraugs remonta veidlapai).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PTAL tiek papildināts ar IV</w:t>
      </w:r>
      <w:r w:rsidR="00000000" w:rsidRPr="00000000" w:rsidDel="00000000">
        <w:rPr>
          <w:vertAlign w:val="superscript"/>
          <w:rtl w:val="0"/>
        </w:rPr>
        <w:t xml:space="preserve">2</w:t>
      </w:r>
      <w:r w:rsidR="00000000" w:rsidRPr="00000000" w:rsidDel="00000000">
        <w:rPr>
          <w:rtl w:val="0"/>
        </w:rPr>
        <w:t xml:space="preserve"> nodaļu, kurā 21.</w:t>
      </w:r>
      <w:r w:rsidR="00000000" w:rsidRPr="00000000" w:rsidDel="00000000">
        <w:rPr>
          <w:vertAlign w:val="superscript"/>
          <w:rtl w:val="0"/>
        </w:rPr>
        <w:t xml:space="preserve">7</w:t>
      </w:r>
      <w:r w:rsidR="00000000" w:rsidRPr="00000000" w:rsidDel="00000000">
        <w:rPr>
          <w:rtl w:val="0"/>
        </w:rPr>
        <w:t xml:space="preserve"> pants nosaka remonta platformas nosacījumus, vispārējās prasības, kuras ietveramas, ne tikai pašā remonta platformā, kuru izstrādā Eiropas Komisija, bet arī vispārīgos nosacījumus valsts sadaļai. Specifiski nosacījumi un nacionālajā valsts sadaļā iekļaujamā informācija tiek noteikta ar Ministru kabineta noteikumiem (kā aprakstīts iepriekš).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atbilstoši Direktīvā 2024/1799 noteiktajam, Eiropas Komisija ir atbildīga par tiešsaistes platformas kopīgās tiešsaistes saskarnes izveidi un uzturēšanu. Minētās tiešsaistes saskarnes tehnisko uzturēšanu veikts Eiropas Komisija, savukārt nacionālo sadaļu uzraudzību veic katra dalībvalsts par savu valsts sadaļu, nodrošinot, ka tajā reģistrētie remontētāji atbilsti visiem tiem noteiktajiem nosacījumiem un prasībām attiecībā uz dalību remonta platformā.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Remonta platformas mērķis ir atvieglot remonta pakalpojumu meklēšanu remontētāju un patērētāju attiecībās, attiecīgi nodrošinot patērētājiem vienuviet iespēju sameklēt sev piemērotāku remontētāju, salīdzināt dažādu remontētāju sniegtos pakalpojumus, sagaidāmās izmaksas par remontu, kā arī citus aspektus. Tas palīdzēs patērētājiem izvērtēt un salīdzināt dažādu remonta pakalpojumu sniedzēju priekšrocības, tādējādi mudinot patērētājus izvēlēties remontu, izmantojot digitālās attīstības iespējas. Attiecīgi ar šo pantu tiek noteikts, ka remonta platformā patērētāji var atrast remontētājus.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Remonta platformu veido ES valstu sadaļas, kas izmanto kopīgu Eiropas Komisijas izveidotu tiešsaistes saskarni, kurā pievienotas hipersaites uz ES valstu sadaļām, kuras ir pieejamas visās ES oficiālajās valodās. Jāatzīmē, ka ilgtspējīga patēriņa veicināšanas nolūkā dalībvalstīm vajadzētu spēt, ja tas ir attiecināms un iespējams, paplašināt savas valsts sadaļas tvērumu remonta platformā, iekļaujot tajā arī atjaunotu preču pārdevējus, defektīvu atjaunojamu preču pircējus vai sabiedrības virzītas remontēšanas iniciatīvas, piemēram, remonta kafejnīcas.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kā ir skaidrots iepriekš, arī šā panta kontekstā defektīvas atjaunojamas preces ir uzskatāmas par pārjaunotām precēs atbilstoši Eiropas Komisijais skaidrojumam. Taču PTAL netiks lietots termins "pārjaunotas preces", bet gan "atjaunotas preces", ņemot vērā Valsts Valodas centra 2025. gada 18. martā saņemtajā vēstulē iekļauto skaidrojumu - "</w:t>
      </w:r>
      <w:r w:rsidR="00000000" w:rsidRPr="00000000" w:rsidDel="00000000">
        <w:rPr>
          <w:i w:val="1"/>
          <w:rtl w:val="0"/>
        </w:rPr>
        <w:t xml:space="preserve">Valsts valodas centrs iesaka "refurbished" atveidot kā atjaunots. Lai gan ES terminoloģijas portālā iate.europa.eu pārsvarā atrodama atbilsme pārjaunots, šāda atbilsme nav pilnīgi izprotama, kā arī nav zināma tās izcelsme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 noteikumi paredz, ka Latvijas valsts sadaļa ir pieejama bez maksas tiem remontētājiem un citiem iepriekš minēto pakalpojumu sniedzējiem un remontēšanas iniciatīvām, kuras brīvprātīgi izvēlēsies reģistrēties platformā un izmantot tās sniegtās iespējas.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harmonizētus nosacījumus valstu sadaļām, tiek noteikti vienādi nosacījumi visām ES dalībvalstīm, kā tas, ka šī sadaļa sevi ietver tādas funkcionalitātes kā meklēšanas funkciju par remonta pakalpojuma atrašanās vietu (arī ģeogrāfisko lokāciju ar kartes funkciju), paredz iespēju piedāvāt arī pārrobežu remonta pakalpojumus, informē par būtiskiem remonta nosacījumiem un citiem nosacījumiem, kas nepieciešami un tiek piedāvāti remonta pakalpojuma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sadaļā arī tiek nodrošināta arī iespēja patērētājiem pieprasīt remonta veidlapu no remontētājiem, kuri to piedāvā, un, kas attiecīgi tiek nodrošināta digitālā formātā.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valsts sadaļas korektu funkcionēšanu un izvairītos no patērētāju iespējamas maldināšanas, tajā tiek sniegta iespēja remontētājiem regulāri atjaunināt savu kontaktinformāciju un sniegto pakalpojumu aprakstus, kā arī citu attiecināmo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Preču remonts, kurām ir noteikts remontēšanas pienākums, ir nodrošināms arī tādos gadījumos, ja minētajai precei jau iepriekš ir veikts remonts pie cita remontētāja vai citas personas, tādējādi neļaujot remontētājam vienpusēji atteikt remontu, ja iepriekšējais remonts nav viņa paša veikts.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arī jau šobrīd noteiktās prasības Preču un pakalpojumu piekļūstamības likumā, valsts sadaļā ir jānodrošina, ka tiek ievērotas un nodrošinātas piekļūstamības prasības, t.sk. izmantojot tādas tīmekļa vietnes, kas ir savienotas ar vienoto digitālo vārteju, kura izveidota ar Eiropas Parlamenta un Padomes (ES) 2018. gada 2. oktobra Regulu 2018/1724, ar ko izveido vienotu digitālo vārteju, lai sniegtu piekļuvi informācijai, procedūrām un palīdzības un problēmu risināšanas pakalpojumiem, un ar ko groza Regulu (ES) Nr. 1024/2012. Kā arī ir jānodrošina funkcionalitāti un piekļūstamību neaizsargātiem patērētājiem - personām ar invaliditāti.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izvairītos no iespējamiem remonta platformas vai valsts sadaļas nekorektas darbības vai kādiem to darbības traucējumiem, tiek nodrošināts, ka patērētājiem - platformas lietotājiem - ir pieejamas saziņas veidlapas ziņošanai par tehniskām problēmām, tādējādi izvairoties no neatbilstošu remonta pakalpojumu sniegšanas vai patērētāju maldināšanas.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lai arī dalībvalstīm ir dota izvēles brīvība noteikt papildus piekļuves nosacījumus savās valsts sadaļās, piemēram, attiecībā uz remontētāju reģistrācijas nosacījumiem, Latvija šobrīd nenoteiks nekādus papildus nosacījumus, ņemot vērā, ka remonta platforma ir jauna iespēja remonta pakalpojumu sniegšanas jomā un sākotnēji ir nepieciešams saprast, kāda būs gan remontētāju, gan patērētāju aktivitāte tajā. Ja, laika gaitā būs nepieciešams attiecīgus nosacījumus ieviest, to būs iespējams izdarīt, balstoties uz pastāvošo situāciju un nepieciešamajiem uzlabojumiem.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Remontēšanas pienākums.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minēts iepriekš, ņemot vērā, ka pašlaik Latvijas likumdošanā netiek regulēti remonta pakalpojumu jautājumi, kā arī nav noteiktas nekādas prasības remonta darbību veikšanai un veicināšanai, būtu nosakāms, ka noteiktām precēm, kurām jau šobrīd ES līmenī ir noteiktas remontējamības prasības, tiek nodrošināts remonts pēc patērētāja pieprasījuma tādiem prasījumiem, kas nav saistīti ar preču neatbilstību pārdošanas līgumam Latvijā noteikto 2 gadu laika periodā.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pēc patērētāja pieprasījuma ražotājs nodrošina to preču remontu, attiecībā uz kurām ir paredzētas remontējamības prasības, būtu ieviešami jauni noteikumi, kas paredz ražotāja pienākumu un atbildību veikt noteikto preču grupu remontu, veicinot ilgtspējīgāku patēriņu, aprites ekonomiku un zaļo pārkārtošanos.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pilnībā izmantotu Direktīvas 2024/1799 sniegtās priekšrocības, tā būtu jāpiemēro visām precēm, taču paredzētie noteikumi par remontēšanas un informēšanas pienākumiem šobrīd ir piemērojami tikai tām precēm, attiecībā uz kurām remontējamības prasības ir paredzētas ES tiesību aktos. Taču, jāatzīmē, ka Eiropas Komisija preču ar remontējamības prasībām sarakstu plāno regulāri pārskatīt un papildināt, tā ar laiku nosakot arvien vairāk preču, kuras ražotājiem būs pienākums remontēt.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PTAL tiek papildināts ar IV</w:t>
      </w:r>
      <w:r w:rsidR="00000000" w:rsidRPr="00000000" w:rsidDel="00000000">
        <w:rPr>
          <w:vertAlign w:val="superscript"/>
          <w:rtl w:val="0"/>
        </w:rPr>
        <w:t xml:space="preserve">2</w:t>
      </w:r>
      <w:r w:rsidR="00000000" w:rsidRPr="00000000" w:rsidDel="00000000">
        <w:rPr>
          <w:rtl w:val="0"/>
        </w:rPr>
        <w:t xml:space="preserve"> nodaļu, kuras viens no jaunieviestajiem pantiem - 21.</w:t>
      </w:r>
      <w:r w:rsidR="00000000" w:rsidRPr="00000000" w:rsidDel="00000000">
        <w:rPr>
          <w:vertAlign w:val="superscript"/>
          <w:rtl w:val="0"/>
        </w:rPr>
        <w:t xml:space="preserve">8</w:t>
      </w:r>
      <w:r w:rsidR="00000000" w:rsidRPr="00000000" w:rsidDel="00000000">
        <w:rPr>
          <w:rtl w:val="0"/>
        </w:rPr>
        <w:t xml:space="preserve"> pants - nosaka, ka pēc patērētāja pieprasījuma ražotājs nodrošina to preču remontu, attiecībā uz kurām ir paredzētas remontējamības prasības, taču ražotājam nav pienākums remontēt tādas preces, kuras nav iespējams saremontēt. Eiropas Savienības tiesību aktu saraksts ar precēm un precēm ar digitāliem elementiem, uz kurām attiecināmas remontējamības prasības šā panta kontekstā, ir uzskaitīts PTAL 21.</w:t>
      </w:r>
      <w:r w:rsidR="00000000" w:rsidRPr="00000000" w:rsidDel="00000000">
        <w:rPr>
          <w:vertAlign w:val="superscript"/>
          <w:rtl w:val="0"/>
        </w:rPr>
        <w:t xml:space="preserve">10</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remontēšanas pienākumu, ražotājs var noslēgt apakšlīgumu ar citu remonta pakalpojumu sniedzēju. Ar terminu "</w:t>
      </w:r>
      <w:r w:rsidR="00000000" w:rsidRPr="00000000" w:rsidDel="00000000">
        <w:rPr>
          <w:i w:val="1"/>
          <w:rtl w:val="0"/>
        </w:rPr>
        <w:t xml:space="preserve">apakšlīgums</w:t>
      </w:r>
      <w:r w:rsidR="00000000" w:rsidRPr="00000000" w:rsidDel="00000000">
        <w:rPr>
          <w:rtl w:val="0"/>
        </w:rPr>
        <w:t xml:space="preserve">" šo normu kontekstā tiek saprasts tāds līgums, kas saistīts ar pamata remonta pakalpojumu nodrošināšanu, ja, piemēram, ražotājs (kam ir noteikts pienākums veikt preces remontu) kādu iemeslu dēļ nevar pastāvīgi veikt remonta pakalpojuma sniegšanu, taču tajā pašā laikā nodrošinot, ka sniegtais remonta pakalpojums atbildīs Direktīvā 2024/1799 noteiktajām prasībām uz remontu, uz informēšanas prasībām un citiem attiecīgiem nosacījumiem. Šāds pats nosacījums attiecas arī uz pilnvaroto pārstāvi, importētāju vai izplatītāju, kuru pienākums ir nodrošināt preces remontu.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preces remonts ir veicams ievērojot vairākus nosacījumus, kā to, ka remontu veic vai nu bez maksas, vai par saprātīgu maksu, un, ka to veic saprātīgā laika posmā. Remonta laikā patērētājam var tikt bez maksas vai par saprātīgu cenu piedāvāt un izsniegt patērētājam līdzvērtīgu preci uz remonta laiku, t.sk. atjaunotu preci, ja remonts konkrētajai precei nav iespējams. Par šādu iespēju patērētājs tiek informēts, pirms gala lēmuma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šajā pantā, kā arī citās PTAL normās, ar vārdu "</w:t>
      </w:r>
      <w:r w:rsidR="00000000" w:rsidRPr="00000000" w:rsidDel="00000000">
        <w:rPr>
          <w:i w:val="1"/>
          <w:rtl w:val="0"/>
        </w:rPr>
        <w:t xml:space="preserve">saprātīgs</w:t>
      </w:r>
      <w:r w:rsidR="00000000" w:rsidRPr="00000000" w:rsidDel="00000000">
        <w:rPr>
          <w:rtl w:val="0"/>
        </w:rPr>
        <w:t xml:space="preserve">" ir saprotams tāds laika posms vai tāda maksa, kas patērētājus tīši neatturētu no iespējas gūt labumu no ražotāja pienākuma veikt remontu. Minētais jēdziens nav konkrēti laikā vai apjomā izmērams, bet tas tiek izmantots arī vairākos citus Latvijas nacionālajos tiesību aktos kā Komerclikumā, Konkurences likumā un citos, līdz ar to tā lietošana ir uzskatāma par ierastu praksi.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remontējamās preces ražotāja saimnieciskā darbība bieži vien ir reģistrēta ārpus ES, minētos pienākumus jāpilda tā pilnvarotajam pārstāvim ES, savukārt, ja tāda nav - šos pienākumus pilda attiecīgās preces importētājs, un, ja nav importētāja, to veic attiecīgās preces izplatītājs. Ja ražotājam nav remonta infrastruktūras vai, ja remontu var veikt remontētājs, kas atrodas tuvāk patērētājam, var tikt noslēgts iepriekš minētais apakšlīgums. Svarīgākais ir, ka ražotāji jebkurā gadījumā paliek atbildīgi par remontēšanas pienākumu, tostarp arī nodrošinot, ka precēm, uz kurām attiecas remontējamības prasības, tie par saprātīgu cenu dara pieejamas un piedāvā rezerves daļas un atbilstošus rīkus, kas nepieciešami to remontam, ja tie paši konkrēto remontu neveic, bet ir nodevuši citam remontētājam.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nodrošinātu, ka patērētājam ir pieejama nepieciešamā informācija par remontu, ražotāji vai, attiecīgā gadījumā, pilnvarotie pārstāvji, importētāji vai izplatītāji, nodrošina, ka patērētāji, izmantojot to tīmekļvietni (ja tāda pastāv), var iegūt informāciju par paredzamo remonta cenu tipiskākajiem remontiem konkrētajai precei. Informācijai ir jābūt viegli piekļūstamai, skaidrai un norādītai saprotamā veidā bez maksas vismaz uz to laiku, kamēr remontētājam ir noteikts remontēšanas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Ražotājiem ir jānodrošina arī piekļuve rezerves daļām, remonta un tehniskās apkopes informācijai vai jebkādiem ar remontu saistītiem programmatūras rīkiem vai citiem palīglīdzekļiem, tādējādi nodrošinot remonta tehnisko iespējamību ne tikai ražotājam, bet arī citiem remontētājiem vai pašam patērētājam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Līgumos precēm ar remontēšanas prasībām, neiekļauj nekādus atsevišķus nosacījumus, kā arī jebkādas aparatūras vai programmatūras metodes attiecībā uz remontu, kas var atturēt no remonta pakalpojuma veikšanas vai saņemšanas, ja vien šīs metodes ir attaisnojamas ar objektīviem un leģitīmiem faktoriem, kā, piemēram, intelektuālā īpašuma tiesību aizsardzība vai preču drošums.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remontētāji ir tiesīgi piedāvāt arī tādus līguma noteikumus, kas nodrošina augstāku patērētāja tiesību aizsardzību remonta pakalpojumu sniegšanai un saņemšanai, nekā noteikts šajā likumā, neatkāpjoties no tiem noteiktajām prasībām un pienākumiem. Taču patērētājam nav saistošs neviens līgums, kurā tam kaitējot, netiek ievērotas šajā likumā noteiktās prasības, vai tāds līgums, kurš atkāpjas no noteiktajām prasībām. Attiecīgi arī, sargājot patērētāja tiesības uz remontu un veicinot remontēšanu pēc būtības, PTAL noteiktais remontēšanas pienākums neizslēdz patērētāja tiesības pieprasīt remontu no jebkura viņa izvēlēta remontētāja, pat, ja tas atšķiras no ražotāja piedāvātā. Un, ja iepriekš patērētājs kādu iemeslu dēļ ir izvēlējies veikt remontu citviet, ne pie preces ražotāja, attiecīgais ražotājs nedrīkst atteikt konkrētās preces remontu tikai tāpēc, ka iepriekšējais remonts ir veikts pie cita remontētāja vai kā citādi atkāpties no tiem noteiktā remontēšanas pienākuma.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Informēšanas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tiesību aktos nav noteikts pienākums veikt remontu un ar to saistītās darbības, nav noteikts arī pienākums informēt patērētājus par šādu iespēju. Nosakot remontēšanas pienākumus noteiktajām preču grupām, ir jānosaka, ka remontētājiem ir pienākums informēt patērētājus par ieguvumiem, izvēloties remontu, tā veicinot apritīgumu un savā veidā popularizējot remontēšanas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noteikt patērētāju informēšanas pienākumu attiecībā uz tā tiesībām izvēlēties preces remontu vai nomaiņu, kā arī par atbilstības laikposma pagarināšanu par vienu kalendāro gadu, kas būtu motivējošs faktors lēmuma pieņemšanai par labu remontam. Atbilstības laikposma pagarinājums stimulētu ilgtspējīgu patēriņu un veicinātu aprites ekonomiku.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remontēšanas veicināšanas pasākumi un pienākumi ir kas jauns Latvijas patērētājiem, nepieciešams nodrošināt, ka patērētāji ir informēti par to tiesībām, iespējām un par to, kur var vērsties, ja ir kādas neskaidrības vai problēmjautājumi, kurus remontēšanas kontekstā ir nepieciešams risināt.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PTAL tiek papildināts ar IV</w:t>
      </w:r>
      <w:r w:rsidR="00000000" w:rsidRPr="00000000" w:rsidDel="00000000">
        <w:rPr>
          <w:vertAlign w:val="superscript"/>
          <w:rtl w:val="0"/>
        </w:rPr>
        <w:t xml:space="preserve">2</w:t>
      </w:r>
      <w:r w:rsidR="00000000" w:rsidRPr="00000000" w:rsidDel="00000000">
        <w:rPr>
          <w:rtl w:val="0"/>
        </w:rPr>
        <w:t xml:space="preserve"> nodaļu, kuras viens no jaunieviestajiem pantiem - 21.</w:t>
      </w:r>
      <w:r w:rsidR="00000000" w:rsidRPr="00000000" w:rsidDel="00000000">
        <w:rPr>
          <w:vertAlign w:val="superscript"/>
          <w:rtl w:val="0"/>
        </w:rPr>
        <w:t xml:space="preserve">9</w:t>
      </w:r>
      <w:r w:rsidR="00000000" w:rsidRPr="00000000" w:rsidDel="00000000">
        <w:rPr>
          <w:rtl w:val="0"/>
        </w:rPr>
        <w:t xml:space="preserve"> pants - nosaka informēšanas pienākumu par remonta vai preces nomaiņas iespējām un par iespējamo atbilstības laikposma pagarināšanu</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ar šā panta pirmo daļu tiek noteikts, ka, pirms tiek nodrošināta patērētāja tiesību aizsardzība līguma noteikumiem neatbilstošas preces gadījumā, patērētājs tiek informēts par tā tiesībām izvēlēties preces remontu vai nomaiņu, kā arī par šā likuma 28. panta (2)</w:t>
      </w:r>
      <w:r w:rsidR="00000000" w:rsidRPr="00000000" w:rsidDel="00000000">
        <w:rPr>
          <w:vertAlign w:val="superscript"/>
          <w:rtl w:val="0"/>
        </w:rPr>
        <w:t xml:space="preserve">1</w:t>
      </w:r>
      <w:r w:rsidR="00000000" w:rsidRPr="00000000" w:rsidDel="00000000">
        <w:rPr>
          <w:rtl w:val="0"/>
        </w:rPr>
        <w:t xml:space="preserve"> daļā minēto atbilstības laikposma iespējamo pagarināšanu par vienu kalendāro gadu.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atbilstības laikposma pagarināšana (t.s. "garantijas" pagarinājums) piemērojams vienu reizi. Attiecīgi, ja piemēro atbilstības laikposma pagarinājumu, preces tirgotājam vajadzētu būt atbildīgam par jebkādu neatbilstību, kas pastāvēja preču piegādes brīdī un, kas atklājas atlikušajā atbildības laikposmā attiecībā uz preci, kurai ir šis pagarinājums.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Uzraudzības un kontroles iestāde.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Latvijā ir vairākas tirgus uzraudzības iestādes, kuru kompetencē ir attiecīgas jomas. Patērētāju tiesību aizsardzības centra (turpmāk - PTAC) kompetencē ir patērētāju tiesību un interešu aizsardzība, kas tiešā veidā ir saistāma arī ar remontējamību precēm, lai nodrošinātu, ka tās atbilst līguma noteikumiem.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tiek paredzēts ieviest jaunas prasības attiecības uz preču remontējamību un remonta pakalpojumu pieejamību, ir nepieciešams noteikt tirgus uzraudzības iestādi, kas turpmāk kontrolēs un uzraudzīs jaunieviesto prasību izpildi un atbilstību tiesību normām. Tomēr tā kā PTAC jau šobrīd kā tirgus uzraudzības iestādei ir mērķis nodrošināt efektīvu patērētāju tiesību un interešu aizsardzību, nav nepieciešams papildus noteikt, ka PTAC uzrauga arī jaunās remontējamības prasības un no tām izrietošos pasākumus, jo tas jau izriet no pašreizējā regulējuma attiecībā uz patērētāju tiesību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nepieciešams noteikt, ka PTAC ir Latvijas izraudzītais kontaktpunkts komunikācijā ar Eiropas Komisiju, attiecībā tieši uz remonta platformu.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PTAL 25. panta ceturtā daļa tiek papildināta ar 6.</w:t>
      </w:r>
      <w:r w:rsidR="00000000" w:rsidRPr="00000000" w:rsidDel="00000000">
        <w:rPr>
          <w:vertAlign w:val="superscript"/>
          <w:rtl w:val="0"/>
        </w:rPr>
        <w:t xml:space="preserve">3</w:t>
      </w:r>
      <w:r w:rsidR="00000000" w:rsidRPr="00000000" w:rsidDel="00000000">
        <w:rPr>
          <w:rtl w:val="0"/>
        </w:rPr>
        <w:t xml:space="preserve"> punktu, kas nosaka, ka viena no PTAC funkcijām ir valsts kontaktpunkta funkciju īstenošana, lai nodrošinātu piekļuvi remonta platformas valsts sadaļai un sniegtu palīdzību Eiropas Komisijai saistībā ar valsts sadaļas darbību remonta platformā. Tādējādi tiek nostiprināts PTAL normās, ka PTAC ir nacionālais kontaktpunkts Direktīvas 2024/1799 ietvaros.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Remonta veicināšanas pasākumi.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ir noteikts PTAL 28. panta pirmajā daļā, patērētājs, kuram pārdota vai nodota lietošanā līguma noteikumiem neatbilstoša prece, ir tiesīgs pieprasīt, lai tiktu novērsta preces neatbilstība līguma noteikumiem, lai prece tiktu apmainīta pret tādu, ar kuru būtu nodrošināta atbilstība līguma noteikumiem, lai tiktu samazināta preces cena vai līgums tiktu atcelts un tiktu atmaksāta par preci samaksātā naudas summa.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Direktīvas 2024/1799 mērķis ir veicināt apritīgumu (samazināt atkritumus, mazinot salūzušu preču nonākšanu atkritumos) un veicināt remonta pakalpojumu izmantošanu, ir nepieciešams pieņemt tādus nosacījumus, kas mudinātu patērētājiem izvēlēties veikt preces remontu, nevis tās nomaiņu vai izmešanu.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jāsaprot, ka, lai mainītu patērētāju uztveri par remonta pozitīvo ietekmi uz vidi un ilgtspēju, patērētājam ir nepieciešams pamudinājums un ir zināšanas par tā iespējām saņemt funkcionējošu preci, tajā pašā laikā regulāri šīs preces nemainot pret jaunām, jo tās nolietojas, vai tām salūzt kāda no detaļām.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PTAL šodrīd nav noteikti nekādi pozitīvi veicinoši faktori, kas mudinātu patērētājus remontēt salūzušās preces un kopumā veicinātu ilgtspējīgu patēriņu. Tas pats attiecas arī uz iespēju patērētājam saņemt kādus papildus bonusus, ja tas izvēlēsies remontu.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PTAL 28. pants tiek papildināts ar divām jaunām daļām, lai motivētu patērētājus izvēlēties remontu preces nomaiņas (izmešanas) vietā.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tiek noteikts, ka, ja tiek veikts preces remonts, preces atbilstības laikposmu (tā saucamo "likumisko garantiju)" vienu reizi pagarina par vienu gadu jeb divpadsmit kalendārajiem mēnešiem. Šāds atbildības laikposma pagarinājums ne tikai veicinās izvēli par labu remontam, bet arī stimulēs ilgtspējīgu patēriņu un veicinās aprites ekonomiku ilgtermiņā.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Konkrētajā panta tiek norādīts uz pagarināšanu par vienu gadu nevis 12 mēnešiem, lai nodrošinātu konsekvenci ar citiem PTAL pantiem, kuros jau šobrīd tiek minēts šāds laika posms, kā, piemēram, PTAL 13. panta otrajā daļā, kur tiek noteikts, ka "</w:t>
      </w:r>
      <w:r w:rsidR="00000000" w:rsidRPr="00000000" w:rsidDel="00000000">
        <w:rPr>
          <w:i w:val="1"/>
          <w:rtl w:val="0"/>
        </w:rPr>
        <w:t xml:space="preserve">Pārdevējs vai pakalpojuma sniedzējs ir atbildīgs par jebkuru preces piegādes dienā esošu neatbilstību, kas atklājas divu gadu laikā no preces piegādes dienas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noteikts, ka remonts tiek veikts bez maksas, saprātīgā laikposmā un neradot ievērojamas neērtības patērētājam. Līdz ar to papildus tiek noteikts, ka, ja remonta laikā patērētājam ir nepieciešama pastāvīga remontējamās preces pieejamība, pārdevējs var patērētājam piedāvāt bez maksas izsniegt maiņas preci, tostarp atjaunotu preci. Minētais nosacījums, protams, ir atkarīgs no konkrētās preces kategorijas specifikas, piemēram, ne vienmēr būs iespējams patērētājam uz tā ledusskapja remonta laiku izsniegt vietā maiņas ledusskapi, šī opcija ir atkarīga no konkrētā tirgotāja iespējām.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Komisijas skaidrojumam termins “</w:t>
      </w:r>
      <w:r w:rsidR="00000000" w:rsidRPr="00000000" w:rsidDel="00000000">
        <w:rPr>
          <w:i w:val="1"/>
          <w:rtl w:val="0"/>
        </w:rPr>
        <w:t xml:space="preserve">atjaunošan</w:t>
      </w:r>
      <w:r w:rsidR="00000000" w:rsidRPr="00000000" w:rsidDel="00000000">
        <w:rPr>
          <w:rtl w:val="0"/>
        </w:rPr>
        <w:t xml:space="preserve">a” ("</w:t>
      </w:r>
      <w:r w:rsidR="00000000" w:rsidRPr="00000000" w:rsidDel="00000000">
        <w:rPr>
          <w:i w:val="1"/>
          <w:rtl w:val="0"/>
        </w:rPr>
        <w:t xml:space="preserve">refurbishment"</w:t>
      </w:r>
      <w:r w:rsidR="00000000" w:rsidRPr="00000000" w:rsidDel="00000000">
        <w:rPr>
          <w:rtl w:val="0"/>
        </w:rPr>
        <w:t xml:space="preserve">) ir jāsaprot tā, kā noteikts Ilgtspējīgu produktu ekodizaina regulā (ES) 2024/1781, kurā atjaunošana ir definēta kā darbības, kas veiktas, lai sagatavotu, iztīrītu, pārbaudītu, apkalpotu un, ja nepieciešams, salabotu produktu vai izmestu produktu, lai atjaunotu tā veiktspēju vai funkcionalitāti paredzētajā lietojumā un veiktspējas diapazonā, kas sākotnēji tika iecerēts projektēšanas posmā produkta laišanas tirgū laikā. Līdz ar to termins “</w:t>
      </w:r>
      <w:r w:rsidR="00000000" w:rsidRPr="00000000" w:rsidDel="00000000">
        <w:rPr>
          <w:i w:val="1"/>
          <w:rtl w:val="0"/>
        </w:rPr>
        <w:t xml:space="preserve">atjaunotas preces</w:t>
      </w:r>
      <w:r w:rsidR="00000000" w:rsidRPr="00000000" w:rsidDel="00000000">
        <w:rPr>
          <w:rtl w:val="0"/>
        </w:rPr>
        <w:t xml:space="preserve">” ir jāsaprot kā preces, kas tika atjaunotas (saremontētas), kā definēts ekodizaina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pārjaunotas preces ("</w:t>
      </w:r>
      <w:r w:rsidR="00000000" w:rsidRPr="00000000" w:rsidDel="00000000">
        <w:rPr>
          <w:i w:val="1"/>
          <w:rtl w:val="0"/>
        </w:rPr>
        <w:t xml:space="preserve">refurbished goods"</w:t>
      </w:r>
      <w:r w:rsidR="00000000" w:rsidRPr="00000000" w:rsidDel="00000000">
        <w:rPr>
          <w:rtl w:val="0"/>
        </w:rPr>
        <w:t xml:space="preserve">) attiecas uz tādām precēm, kuras to pircējs (atjaunotājs/remontētājs) plāno iegādāties, lai tām veiktu atjaunošanu, kā aprakstīts iepriekš.</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Sods par pārkāpumiem.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Sodi par, piemēram, negodīgas komercprakses īstenošanu, tiek jau šobrīd regulēti ar Negodīgas komercprakses aizlieguma likuma normām, nosakot, kādos gadījumos komercprakse uzskatāma par negodīgu un atturot pārdevējus un pakalpojumu sniedzējus no patērētāju maldināšanas.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kā ir norādīts Direktīvas 2024/1799 apsvēruma punktā, "</w:t>
      </w:r>
      <w:r w:rsidR="00000000" w:rsidRPr="00000000" w:rsidDel="00000000">
        <w:rPr>
          <w:i w:val="1"/>
          <w:rtl w:val="0"/>
        </w:rPr>
        <w:t xml:space="preserve">tirgotāju prakse, kas vedina patērētājus domāt, ka viņu preces nevar remontēt tāpēc, ka neatkarīgs remontētājs, neprofesionāls remontētājs vai galalietotāji ir veikuši iepriekšēju remontu vai pārbaudi, vai nepatiesi apgalvojumi, ka šāds remonts vai pārbaude rada ar drošību saistītus riskus, tādējādi maldinot patērētājus, attiecīgā gadījumā varētu būt negodīga komercprakse</w:t>
      </w:r>
      <w:r w:rsidR="00000000" w:rsidRPr="00000000" w:rsidDel="00000000">
        <w:rPr>
          <w:rtl w:val="0"/>
        </w:rPr>
        <w:t xml:space="preserve">". Izstrādājot Direktīvu 2024/1799, Eiropas Komisija ir noteikusi, ka sodiem jābūt iedarbīgiem, samērīgiem un atturošiem, lai patērētāju tiesības tiktu pienācīgi aizsargātas.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komercprakse pēc būtības ietver visas komersanta darbības, kas var ietekmēt patērētāja lēmumu par līguma slēgšanu vai neslēgšanu, līguma izpildi vai neizpildi u.tml., līdz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arī remontēšanas pienākumu nepildīšana, patērētāja neinformēšana par remontēšanas pienākumu un remonta veidlapas prasību nepildīšana viennozīmīgi arī ir kvalificējama kā negodīga komercprakse, kas var ietekmēt patērētāja lēmumu.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netiek papildināts ar jaunu soda pantu, ņemot vērā, ka Latvijas tiesību sistēmā sodu jautājums par patērētāju tiesību pārkāpumiem tiek regulēts caur t.s. "jumta" likumu ar Negodīgas komercprakses aizlieguma likuma (NKAL) normām, piešķirot tām īpaši plašu materiālās piemērošanas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NKAL mērķis ir nodrošināt patērētāju tiesību un ekonomisko interešu aizsardzību, aizliedzot komercprakses īstenotājiem izmantot negodīgu komercpraksi attiecībā pret patērētājiem. Līdz ar to var secināt, ka NKAL tvērumā ietilpst arī patērētāju aizsardzība un attiecīgi panti, kas paredz sodus par negodīgu komercpraksi jau ir ietverti NKAL.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konstatējot elementu, ka īstenotā prakse ir negatīvi ietekmējusi patērētāju tiesiskās intereses un ekonomisko rīcību, tiek vērtēta komersanta īstenotās komercprakses atbilstība normatīvo aktu prasībām, pārkāpuma gadījumos piemērojot NKAL 15.</w:t>
      </w:r>
      <w:r w:rsidR="00000000" w:rsidRPr="00000000" w:rsidDel="00000000">
        <w:rPr>
          <w:vertAlign w:val="superscript"/>
          <w:rtl w:val="0"/>
        </w:rPr>
        <w:t xml:space="preserve">2</w:t>
      </w:r>
      <w:r w:rsidR="00000000" w:rsidRPr="00000000" w:rsidDel="00000000">
        <w:rPr>
          <w:rtl w:val="0"/>
        </w:rPr>
        <w:t xml:space="preserve"> pantā noteikto sodu. Gadījumā, kad pārkāpums ir formāls, kas nav radījis patērētājam noteiktu vai potenciālu kaitējumu, atbilstoši samērīguma principam, sods komersantam par šādu formālu pārkāpumu nebūtu jāpiemēro.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Īpašas atsauces esībai uz citā likumā noteiktu atbildību šādā gadījumā nav izšķirošas juridiskas nozīmes un tāda regulēšanas pieeja nav raksturīga Latvijas tiesību sistēmai, līdz ar to nav nekāda pamata ietvert PTAL atsauci uz citos normatīvajos aktos noteiktajiem sodošajām normām, ņemot vērā, ka NKAL normas ir plaši piemērojamas, t.sk. par patērētāju tiesību pārkāpumiem (kā pārkāpumi par Direktīvas 2024/1799 4., 5. un 6. panta pārkāpumiem).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uzņēmēji varētu pielāgoties attiecībā uz dažu Direktīvas 2024/1799 pantu piemērošanu, būtu jāievieš pārejas noteikumi. Šādi pārejas noteikumi būtu jāpiemēro tādiem līgumiem, kas noslēgti pēc 2026. gada 31. jūlija, lai dotu pārdevējiem pietiekami daudz laika pielāgoties grozītajiem remonta un nomaiņas tiesiskās aizsardzības līdzekļiem, t.i. atbilstības laikposma pagarināšanu par 12 kalendārajiem mēnešiem un attiecīgi - patērētāju informēšanu par to.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PTAL tiek papildināts ar pārejas noteikumu, kas nosaka, ka šā likuma 14. panta pirmās daļas 8. punktu attiecībā uz remontējamību, 21.</w:t>
      </w:r>
      <w:r w:rsidR="00000000" w:rsidRPr="00000000" w:rsidDel="00000000">
        <w:rPr>
          <w:vertAlign w:val="superscript"/>
          <w:rtl w:val="0"/>
        </w:rPr>
        <w:t xml:space="preserve">9</w:t>
      </w:r>
      <w:r w:rsidR="00000000" w:rsidRPr="00000000" w:rsidDel="00000000">
        <w:rPr>
          <w:rtl w:val="0"/>
        </w:rPr>
        <w:t xml:space="preserve"> pantu, 28. panta 2.</w:t>
      </w:r>
      <w:r w:rsidR="00000000" w:rsidRPr="00000000" w:rsidDel="00000000">
        <w:rPr>
          <w:vertAlign w:val="superscript"/>
          <w:rtl w:val="0"/>
        </w:rPr>
        <w:t xml:space="preserve">1</w:t>
      </w:r>
      <w:r w:rsidR="00000000" w:rsidRPr="00000000" w:rsidDel="00000000">
        <w:rPr>
          <w:rtl w:val="0"/>
        </w:rPr>
        <w:t xml:space="preserve"> un 4.</w:t>
      </w:r>
      <w:r w:rsidR="00000000" w:rsidRPr="00000000" w:rsidDel="00000000">
        <w:rPr>
          <w:vertAlign w:val="superscript"/>
          <w:rtl w:val="0"/>
        </w:rPr>
        <w:t xml:space="preserve">1</w:t>
      </w:r>
      <w:r w:rsidR="00000000" w:rsidRPr="00000000" w:rsidDel="00000000">
        <w:rPr>
          <w:rtl w:val="0"/>
        </w:rPr>
        <w:t xml:space="preserve"> daļu nepiemēro tiem pārdošanas līgumiem, kuri ir noslēgti līdz 2026. gada 31. jūlijam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Likumprojekta piemērošanai būs pozitīva ietekme uz patērētājiem, jo tiks nodrošināta patērētāju labāka aizsardzība un tiks nodrošināta remonta pakalpojumu pieejamība, kā arī informācija par pieejamiem remonta pakalpojumiem, vienlaikus veicinot ilgtspējīgāku patēriņu.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remontētāji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pēc patērētāja pieprasījuma remontētāji brīvprātīgi var izsniegt remonta veidlapu, tiem remontētājiem, kuri izvēlēsies šādu pakalpojumu nodrošināt, būs nepieciešams šīs veidlapas sagatavot, izprintēt vai nodrošināt to pieejamību pastāvīgā informācijas nesējā, kā arī nodrošināt to, ka tajā sniegtā informācija ir korekta un aktuāla, tā palielinot tiem administratīvo slogu.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Remontētājiem, ja tie izvēlēsies reģistrēties remonta platformā, būs regulāri jānodrošina informācijas atbilstība un aktualitāte, kas var prasīt papildus resursu ieguldījumu - laika resurss, cilvēkresursi.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nav iespējams noteikt, cik remontētāji izvēlēsies brīvprātīgi izsniegt remonta veidlapas un cik daudzi no tiem izvēlēsies reģistrēties remonta platformā, nav iespējams veikt aprēķinus par sagaidāmajām izmaksām remonta veidlapu sagatavošanai, izprintēšanai, kā arī remonta platformas izmantošanai.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visi uzņēmumi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10,71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Saskaņā ar CSP datiem vidējā darba samaksa (bruto) valstī 2025. gadā privātajā sektorā bija 1800 euro. Pieņemot normālo darba laiku – 40 stundas nedēļā, kas vidēji veido 168 stundas mēnesī, vidējā stundas darba samaksa privātajā sektorā veido 10,71 euro (bruto) - 1800/168=10.71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Laiks informācijas sagatavošanai, materiālu izprintēšanai varētu aizņemt apmēram 30 minūtes jeb 0.5 stundu.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Remontētājs.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Norādāmā informācija par "garantijas" termiņa pagarinājumu par 1 gadu remonta veikšanas gadījumā nemainās, kamēr netiek ES līmenī noteikts citādi. Attiecīgi norādāms, ka informācija tiek pārbaudīta reizi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Aprēķins veikts par likuma 21.prim 9 panta pirmajā daļā noteikto informācijas sniegšanas pienākumu par atbilstības termiņa pagarinājumu par vienu gadu, ja tiek izvēlēts preces remonts. 
Lai nodrošinātu pienācīgu informēšanu, šajā pantā noteikto informāciju remontētājs drukātā veidā dara pieejamu patērētājiem. 
Nav iespējams noteikt precīzu remontētāju skaitu, ņemot vērā, ka nepastāv remontētāju reģistrs, kā arī subjekti, kuri nodarbojas ar preču remontu iespējams ir reģistrējuši savu saimniecisko darbību saskaņā ar NACE 2.1. klasifikāciju, piemēram, kā tirgotājs, taču realitātē tiek piedāvāti arī remonta pakalpojumi, tādēļ novērtējums veikts pret 1 subjektu.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remontētāji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10,71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Saskaņā ar CSP datiem vidējā darba samaksa (bruto) valstī 2025. gadā privātajā sektorā bija 1800 euro. Pieņemot normālo darba laiku – 40 stundas nedēļā, kas vidēji veido 168 stundas mēnesī, vidējā stundas darba samaksa privātajā sektorā veido 10,71 euro (bruto) - 1800/168=10.71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Laiks remontētājiem reģistrēties un ievadīt nepieciešamo informāciju remonta platformā, ja tas izvēlas tajā reģistrēties - 2 stundas (EK tika norādījusi, ka vidēji reģistrēšanās process nebūs sarežģīts un laikietilpīgs (apmēram 1h) , tomēr jāņem vērā, ka korektai visu nepieciešamo lauku aizpildīšanai būtu atvēlams saprātīgs laiks, par cik remontētāji to darīs pirmo reizi).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Remontētājs.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Pieņemot, ka remontētāji aktualizē informāciju remonta platformā par saviem pakalpojumiem 2 reizes gadā, norādāms - 2.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Aprēķins veikts par likuma 21 prim 1 pantā noteikto nosacījumu par brīvprātīgo reģistrāciju remonta platformā. Ņemot vērā, ka reģistrācija tiks veikta pirmo reizi jaunā platformā, lai korekti savadītu visu nepieciešamo informāciju visos platformas laukos, nepieciešams laiks un izpratne par norādāmās informācijas apjomu. 
Nav iespējams noteikt precīzu remontētāju skaitu, ņemot vērā, ka nepastāv remontētāju reģistrs, kā arī subjekti, kuri nodarbojas ar preču remontu iespējams ir reģistrējuši savu saimniecisko darbību saskaņā ar NACE 2.1. klasifikāciju, piemēram, kā tirgotājs, taču realitātē tiek piedāvāti arī remonta pakalpojumi, tādēļ novērtējums veikts pret 1 subjektu.</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uzraudzības funkcijas tiks paplašinātas, ņemot vērā jaunos pienākumus un funkcijas, taču papildus (jaunas) vakantas darba vietas ar šīs Direktīvas 2024/1799 pārņemšanu netiek plānotas.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Likumprojektā paredzēto normu izpildi, tajā skaitā PTAC noteikto papildu uzraudzības pienākumu un kontaktpunkta funkcijas īstenošana tiks nodrošināta Ekonomikas ministrijas budžeta apakšprogrammā 26.01.00 "Iekšējais tirgus un patērētāju tiesību aizsardzība" piešķirto valsts budžeta līdzekļu un esošo amata vietu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Preču remontēšanas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w:t>
      </w:r>
      <w:r w:rsidR="00000000" w:rsidRPr="00000000" w:rsidDel="00000000">
        <w:rPr>
          <w:i w:val="1"/>
          <w:rtl w:val="0"/>
        </w:rPr>
        <w:t xml:space="preserve">Preču remontēšanas noteikumi</w:t>
      </w:r>
      <w:r w:rsidR="00000000" w:rsidRPr="00000000" w:rsidDel="00000000">
        <w:rPr>
          <w:rtl w:val="0"/>
        </w:rPr>
        <w:t xml:space="preserve">" tiks izstrādāti, lai nodrošinātu Direktīvas 2024/1799 prasību pārņemšanu nacionālajos tiesību aktos, kuros tiks noteiktas prasības (iekļaujamā informācija) remonta veidlapai un Latvijas valsts sadaļā iekļaujamā informācija remonta platformā, kā arī tiks noteikts to preču grupu saraksts, uz kurām ir attiecināmas remontējamības prasības un jaunās likuma normas (t.i.preču grupas, kurām jau šobrīd ES līmenī harmonizēti ir noteiktas remontējamības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šo noteikumu pielikumā tiks sagatavots remonta veidlapas paraugs, ko remontētāji varēs izsniegt patērētājiem par remonta pakalpojumu, ja tie izvēlēsies šo veidlapu nodrošināt (tās izsniegšana ir brīvprātīga).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32024L1799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13. jūnija Direktīva (ES) 2024/1799 par kopīgiem noteikumiem preču remontēšanas veicināšanai un ar ko groza Regulu (ES) 2017/2394 un Direktīvas (ES) 2019/771 un (ES) 2020/1828.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Direktīvu 2024/1799, to piemēro no 2026. gada 31. jūlija.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2024. gada 13. jūnija Direktīva (ES) 2024/1799 par kopīgiem noteikumiem preču remontēšanas veicināšanai un ar ko groza Regulu (ES) 2017/2394 un Direktīvas (ES) 2019/771 un (ES) 2020/1828.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PTAL 1.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pants (PTAL 1. panta 19.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pants (PTAL 1. panta 22.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PTAL 1.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PTAL 1.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pants (PTAL 1. panta 24.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pants (PTAL 1. panta 20.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8.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pants (PTAL 1. panta 25.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PTAL 1.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pants (PTAL 1. panta 26.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pants (PTAL 1. panta 21.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PTAL 1. panta 2.</w:t>
            </w:r>
            <w:r w:rsidR="00000000" w:rsidRPr="00000000" w:rsidDel="00000000">
              <w:rPr>
                <w:sz w:val="24"/>
                <w:vertAlign w:val="superscript"/>
                <w:rtl w:val="0"/>
              </w:rPr>
              <w:t xml:space="preserve">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1.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pants (PTAL 21.</w:t>
            </w:r>
            <w:r w:rsidR="00000000" w:rsidRPr="00000000" w:rsidDel="00000000">
              <w:rPr>
                <w:sz w:val="24"/>
                <w:vertAlign w:val="superscript"/>
                <w:rtl w:val="0"/>
              </w:rPr>
              <w:t xml:space="preserve">6</w:t>
            </w:r>
            <w:r w:rsidR="00000000" w:rsidRPr="00000000" w:rsidDel="00000000">
              <w:rPr>
                <w:sz w:val="24"/>
                <w:rtl w:val="0"/>
              </w:rPr>
              <w:t xml:space="preserve">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pants (PTAL 21.</w:t>
            </w:r>
            <w:r w:rsidR="00000000" w:rsidRPr="00000000" w:rsidDel="00000000">
              <w:rPr>
                <w:sz w:val="24"/>
                <w:vertAlign w:val="superscript"/>
                <w:rtl w:val="0"/>
              </w:rPr>
              <w:t xml:space="preserve">6</w:t>
            </w:r>
            <w:r w:rsidR="00000000" w:rsidRPr="00000000" w:rsidDel="00000000">
              <w:rPr>
                <w:sz w:val="24"/>
                <w:rtl w:val="0"/>
              </w:rPr>
              <w:t xml:space="preserve">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pants (PTAL 21.</w:t>
            </w:r>
            <w:r w:rsidR="00000000" w:rsidRPr="00000000" w:rsidDel="00000000">
              <w:rPr>
                <w:sz w:val="24"/>
                <w:vertAlign w:val="superscript"/>
                <w:rtl w:val="0"/>
              </w:rPr>
              <w:t xml:space="preserve">6</w:t>
            </w:r>
            <w:r w:rsidR="00000000" w:rsidRPr="00000000" w:rsidDel="00000000">
              <w:rPr>
                <w:sz w:val="24"/>
                <w:rtl w:val="0"/>
              </w:rPr>
              <w:t xml:space="preserve">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4.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Preču remontēšanas noteikumi (25-TA-1908)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4.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Preču remontēšanas noteikumi (25-TA-1908)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4.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Preču remontēšanas noteikumi (25-TA-1908)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4. 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Preču remontēšanas noteikumi (25-TA-1908)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4. punkta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Preču remontēšanas noteikumi (25-TA-1908)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4. punkta f)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Preču remontēšanas noteikumi (25-TA-1908)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4. punkta g)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Preču remontēšanas noteikumi (25-TA-1908)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4. punkta h)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Preču remontēšanas noteikumi (25-TA-1908)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4. punkta i)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Preču remontēšanas noteikumi (25-TA-1908)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4. punkta j)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Preču remontēšanas noteikumi (25-TA-1908)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4. punkta k)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Preču remontēšanas noteikumi (25-TA-1908)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pants (PTAL 21.</w:t>
            </w:r>
            <w:r w:rsidR="00000000" w:rsidRPr="00000000" w:rsidDel="00000000">
              <w:rPr>
                <w:sz w:val="24"/>
                <w:vertAlign w:val="superscript"/>
                <w:rtl w:val="0"/>
              </w:rPr>
              <w:t xml:space="preserve">6</w:t>
            </w:r>
            <w:r w:rsidR="00000000" w:rsidRPr="00000000" w:rsidDel="00000000">
              <w:rPr>
                <w:sz w:val="24"/>
                <w:rtl w:val="0"/>
              </w:rPr>
              <w:t xml:space="preserve">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pants (PTAL 21.</w:t>
            </w:r>
            <w:r w:rsidR="00000000" w:rsidRPr="00000000" w:rsidDel="00000000">
              <w:rPr>
                <w:sz w:val="24"/>
                <w:vertAlign w:val="superscript"/>
                <w:rtl w:val="0"/>
              </w:rPr>
              <w:t xml:space="preserve">6</w:t>
            </w:r>
            <w:r w:rsidR="00000000" w:rsidRPr="00000000" w:rsidDel="00000000">
              <w:rPr>
                <w:sz w:val="24"/>
                <w:rtl w:val="0"/>
              </w:rPr>
              <w:t xml:space="preserve"> panta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panta 1.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pants (PTAL 21.</w:t>
            </w:r>
            <w:r w:rsidR="00000000" w:rsidRPr="00000000" w:rsidDel="00000000">
              <w:rPr>
                <w:sz w:val="24"/>
                <w:vertAlign w:val="superscript"/>
                <w:rtl w:val="0"/>
              </w:rPr>
              <w:t xml:space="preserve">8</w:t>
            </w:r>
            <w:r w:rsidR="00000000" w:rsidRPr="00000000" w:rsidDel="00000000">
              <w:rPr>
                <w:sz w:val="24"/>
                <w:rtl w:val="0"/>
              </w:rPr>
              <w:t xml:space="preserve">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pants (PTAL 21.</w:t>
            </w:r>
            <w:r w:rsidR="00000000" w:rsidRPr="00000000" w:rsidDel="00000000">
              <w:rPr>
                <w:sz w:val="24"/>
                <w:vertAlign w:val="superscript"/>
                <w:rtl w:val="0"/>
              </w:rPr>
              <w:t xml:space="preserve">8</w:t>
            </w:r>
            <w:r w:rsidR="00000000" w:rsidRPr="00000000" w:rsidDel="00000000">
              <w:rPr>
                <w:sz w:val="24"/>
                <w:rtl w:val="0"/>
              </w:rPr>
              <w:t xml:space="preserve">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pants (PTAL 21.</w:t>
            </w:r>
            <w:r w:rsidR="00000000" w:rsidRPr="00000000" w:rsidDel="00000000">
              <w:rPr>
                <w:sz w:val="24"/>
                <w:vertAlign w:val="superscript"/>
                <w:rtl w:val="0"/>
              </w:rPr>
              <w:t xml:space="preserve">8</w:t>
            </w:r>
            <w:r w:rsidR="00000000" w:rsidRPr="00000000" w:rsidDel="00000000">
              <w:rPr>
                <w:sz w:val="24"/>
                <w:rtl w:val="0"/>
              </w:rPr>
              <w:t xml:space="preserve">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pants (PTAL 21.</w:t>
            </w:r>
            <w:r w:rsidR="00000000" w:rsidRPr="00000000" w:rsidDel="00000000">
              <w:rPr>
                <w:sz w:val="24"/>
                <w:vertAlign w:val="superscript"/>
                <w:rtl w:val="0"/>
              </w:rPr>
              <w:t xml:space="preserve">8</w:t>
            </w:r>
            <w:r w:rsidR="00000000" w:rsidRPr="00000000" w:rsidDel="00000000">
              <w:rPr>
                <w:sz w:val="24"/>
                <w:rtl w:val="0"/>
              </w:rPr>
              <w:t xml:space="preserve">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pants (PTAL 21.</w:t>
            </w:r>
            <w:r w:rsidR="00000000" w:rsidRPr="00000000" w:rsidDel="00000000">
              <w:rPr>
                <w:sz w:val="24"/>
                <w:vertAlign w:val="superscript"/>
                <w:rtl w:val="0"/>
              </w:rPr>
              <w:t xml:space="preserve">8</w:t>
            </w:r>
            <w:r w:rsidR="00000000" w:rsidRPr="00000000" w:rsidDel="00000000">
              <w:rPr>
                <w:sz w:val="24"/>
                <w:rtl w:val="0"/>
              </w:rPr>
              <w:t xml:space="preserve"> panta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pants (PTAL 21.</w:t>
            </w:r>
            <w:r w:rsidR="00000000" w:rsidRPr="00000000" w:rsidDel="00000000">
              <w:rPr>
                <w:sz w:val="24"/>
                <w:vertAlign w:val="superscript"/>
                <w:rtl w:val="0"/>
              </w:rPr>
              <w:t xml:space="preserve">8</w:t>
            </w:r>
            <w:r w:rsidR="00000000" w:rsidRPr="00000000" w:rsidDel="00000000">
              <w:rPr>
                <w:sz w:val="24"/>
                <w:rtl w:val="0"/>
              </w:rPr>
              <w:t xml:space="preserve"> panta sestā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pants (PTAL 21.</w:t>
            </w:r>
            <w:r w:rsidR="00000000" w:rsidRPr="00000000" w:rsidDel="00000000">
              <w:rPr>
                <w:sz w:val="24"/>
                <w:vertAlign w:val="superscript"/>
                <w:rtl w:val="0"/>
              </w:rPr>
              <w:t xml:space="preserve">8</w:t>
            </w:r>
            <w:r w:rsidR="00000000" w:rsidRPr="00000000" w:rsidDel="00000000">
              <w:rPr>
                <w:sz w:val="24"/>
                <w:rtl w:val="0"/>
              </w:rPr>
              <w:t xml:space="preserve"> panta septītā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pants (PTAL 21.</w:t>
            </w:r>
            <w:r w:rsidR="00000000" w:rsidRPr="00000000" w:rsidDel="00000000">
              <w:rPr>
                <w:sz w:val="24"/>
                <w:vertAlign w:val="superscript"/>
                <w:rtl w:val="0"/>
              </w:rPr>
              <w:t xml:space="preserve">8</w:t>
            </w:r>
            <w:r w:rsidR="00000000" w:rsidRPr="00000000" w:rsidDel="00000000">
              <w:rPr>
                <w:sz w:val="24"/>
                <w:rtl w:val="0"/>
              </w:rPr>
              <w:t xml:space="preserve"> panta astotā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pants (PTAL 21.</w:t>
            </w:r>
            <w:r w:rsidR="00000000" w:rsidRPr="00000000" w:rsidDel="00000000">
              <w:rPr>
                <w:sz w:val="24"/>
                <w:vertAlign w:val="superscript"/>
                <w:rtl w:val="0"/>
              </w:rPr>
              <w:t xml:space="preserve">8</w:t>
            </w:r>
            <w:r w:rsidR="00000000" w:rsidRPr="00000000" w:rsidDel="00000000">
              <w:rPr>
                <w:sz w:val="24"/>
                <w:rtl w:val="0"/>
              </w:rPr>
              <w:t xml:space="preserve"> panta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pants (PTAL 21.</w:t>
            </w:r>
            <w:r w:rsidR="00000000" w:rsidRPr="00000000" w:rsidDel="00000000">
              <w:rPr>
                <w:sz w:val="24"/>
                <w:vertAlign w:val="superscript"/>
                <w:rtl w:val="0"/>
              </w:rPr>
              <w:t xml:space="preserve">7</w:t>
            </w:r>
            <w:r w:rsidR="00000000" w:rsidRPr="00000000" w:rsidDel="00000000">
              <w:rPr>
                <w:sz w:val="24"/>
                <w:rtl w:val="0"/>
              </w:rPr>
              <w:t xml:space="preserve">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pants (PTAL 21.</w:t>
            </w:r>
            <w:r w:rsidR="00000000" w:rsidRPr="00000000" w:rsidDel="00000000">
              <w:rPr>
                <w:sz w:val="24"/>
                <w:vertAlign w:val="superscript"/>
                <w:rtl w:val="0"/>
              </w:rPr>
              <w:t xml:space="preserve">7</w:t>
            </w:r>
            <w:r w:rsidR="00000000" w:rsidRPr="00000000" w:rsidDel="00000000">
              <w:rPr>
                <w:sz w:val="24"/>
                <w:rtl w:val="0"/>
              </w:rPr>
              <w:t xml:space="preserve">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pants (PTAL 21.</w:t>
            </w:r>
            <w:r w:rsidR="00000000" w:rsidRPr="00000000" w:rsidDel="00000000">
              <w:rPr>
                <w:sz w:val="24"/>
                <w:vertAlign w:val="superscript"/>
                <w:rtl w:val="0"/>
              </w:rPr>
              <w:t xml:space="preserve">7</w:t>
            </w:r>
            <w:r w:rsidR="00000000" w:rsidRPr="00000000" w:rsidDel="00000000">
              <w:rPr>
                <w:sz w:val="24"/>
                <w:rtl w:val="0"/>
              </w:rPr>
              <w:t xml:space="preserve">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pants (PTAL 21.</w:t>
            </w:r>
            <w:r w:rsidR="00000000" w:rsidRPr="00000000" w:rsidDel="00000000">
              <w:rPr>
                <w:sz w:val="24"/>
                <w:vertAlign w:val="superscript"/>
                <w:rtl w:val="0"/>
              </w:rPr>
              <w:t xml:space="preserve">7</w:t>
            </w:r>
            <w:r w:rsidR="00000000" w:rsidRPr="00000000" w:rsidDel="00000000">
              <w:rPr>
                <w:sz w:val="24"/>
                <w:rtl w:val="0"/>
              </w:rPr>
              <w:t xml:space="preserve"> panta otrā daļa) un Preču remontēšanas noteikumi (25-TA-1908)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6.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Preču remontēšanas noteikumi (25-TA-1908)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6.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Preču remontēšanas noteikumi (25-TA-1908)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6.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Preču remontēšanas noteikumi (25-TA-1908)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6. 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Preču remontēšanas noteikumi (25-TA-1908)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6. punkta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Preču remontēšanas noteikumi (25-TA-1908)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6. punkta f)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Preču remontēšanas noteikumi (25-TA-1908)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6. punkta g)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Preču remontēšanas noteikumi (25-TA-1908)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6. punkta h)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Preču remontēšanas noteikumi (25-TA-1908)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 pants (PTAL 25. panta ceturtās daļas 6.</w:t>
            </w:r>
            <w:r w:rsidR="00000000" w:rsidRPr="00000000" w:rsidDel="00000000">
              <w:rPr>
                <w:sz w:val="24"/>
                <w:vertAlign w:val="superscript"/>
                <w:rtl w:val="0"/>
              </w:rPr>
              <w:t xml:space="preserve">3</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PTAL 23. pants, 24. pants, 25. panta sestā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2006.gada 1. augusta noteikumu Nr. 632 “Patērētāju tiesību aizsardzības centra nolikums” 13.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pants (PTAL 21.</w:t>
            </w:r>
            <w:r w:rsidR="00000000" w:rsidRPr="00000000" w:rsidDel="00000000">
              <w:rPr>
                <w:sz w:val="24"/>
                <w:vertAlign w:val="superscript"/>
                <w:rtl w:val="0"/>
              </w:rPr>
              <w:t xml:space="preserve">8</w:t>
            </w:r>
            <w:r w:rsidR="00000000" w:rsidRPr="00000000" w:rsidDel="00000000">
              <w:rPr>
                <w:sz w:val="24"/>
                <w:rtl w:val="0"/>
              </w:rPr>
              <w:t xml:space="preserve"> panta desmitā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2.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pants (PTAL 21.</w:t>
            </w:r>
            <w:r w:rsidR="00000000" w:rsidRPr="00000000" w:rsidDel="00000000">
              <w:rPr>
                <w:sz w:val="24"/>
                <w:vertAlign w:val="superscript"/>
                <w:rtl w:val="0"/>
              </w:rPr>
              <w:t xml:space="preserve">8</w:t>
            </w:r>
            <w:r w:rsidR="00000000" w:rsidRPr="00000000" w:rsidDel="00000000">
              <w:rPr>
                <w:sz w:val="24"/>
                <w:rtl w:val="0"/>
              </w:rPr>
              <w:t xml:space="preserve"> panta devītā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Negodīgas komercprakses aizlieguma likuma 15.</w:t>
            </w:r>
            <w:r w:rsidR="00000000" w:rsidRPr="00000000" w:rsidDel="00000000">
              <w:rPr>
                <w:sz w:val="24"/>
                <w:vertAlign w:val="superscript"/>
                <w:rtl w:val="0"/>
              </w:rPr>
              <w:t xml:space="preserve">2</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 pants (PTAL 14. panta pirmās daļas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panta 2.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5. pants (PTAL 28. panta (2)</w:t>
            </w:r>
            <w:r w:rsidR="00000000" w:rsidRPr="00000000" w:rsidDel="00000000">
              <w:rPr>
                <w:sz w:val="24"/>
                <w:vertAlign w:val="superscript"/>
                <w:rtl w:val="0"/>
              </w:rPr>
              <w:t xml:space="preserve">1</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pants (PTAL 21.</w:t>
            </w:r>
            <w:r w:rsidR="00000000" w:rsidRPr="00000000" w:rsidDel="00000000">
              <w:rPr>
                <w:sz w:val="24"/>
                <w:vertAlign w:val="superscript"/>
                <w:rtl w:val="0"/>
              </w:rPr>
              <w:t xml:space="preserve">9</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5. pants (PTAL 28. panta (4)</w:t>
            </w:r>
            <w:r w:rsidR="00000000" w:rsidRPr="00000000" w:rsidDel="00000000">
              <w:rPr>
                <w:sz w:val="24"/>
                <w:vertAlign w:val="superscript"/>
                <w:rtl w:val="0"/>
              </w:rPr>
              <w:t xml:space="preserve">1</w:t>
            </w:r>
            <w:r w:rsidR="00000000" w:rsidRPr="00000000" w:rsidDel="00000000">
              <w:rPr>
                <w:sz w:val="24"/>
                <w:rtl w:val="0"/>
              </w:rPr>
              <w:t xml:space="preserve"> daļa un PTAL 21.</w:t>
            </w:r>
            <w:r w:rsidR="00000000" w:rsidRPr="00000000" w:rsidDel="00000000">
              <w:rPr>
                <w:sz w:val="24"/>
                <w:vertAlign w:val="superscript"/>
                <w:rtl w:val="0"/>
              </w:rPr>
              <w:t xml:space="preserve">8</w:t>
            </w:r>
            <w:r w:rsidR="00000000" w:rsidRPr="00000000" w:rsidDel="00000000">
              <w:rPr>
                <w:sz w:val="24"/>
                <w:rtl w:val="0"/>
              </w:rPr>
              <w:t xml:space="preserve"> panta otrās daļas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7. pants (PTAL pārejas noteikumu 49.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Preču remontēšanas noteikumi (25-TA-1908)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Preču remontēšanas noteikumi (25-TA-1908)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izmanto dalībvalsts rīcības brīvību nepārņemt šādas Direktīvas 2024/1799 normas - 7. panta 3. un 4. punktus, 9. panta 2. punktu, 3. punktu un 4. punkta "b" apakšpunktu un 16. panta 2. punktu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7. panta 3. un 4. punkts - Latvija ir izvēlējusies šobrīd remonta platformā izmantot valsts sadaļu un neizmantot kādu eksistējošu tiešsaistes platformu, ņemot vērā, ka šobrīd pieejamā </w:t>
            </w:r>
            <w:r w:rsidR="00000000" w:rsidRPr="00000000" w:rsidDel="00000000">
              <w:rPr>
                <w:sz w:val="24"/>
                <w:i w:val="1"/>
                <w:rtl w:val="0"/>
              </w:rPr>
              <w:t xml:space="preserve">lietovelreiz.lv</w:t>
            </w:r>
            <w:r w:rsidR="00000000" w:rsidRPr="00000000" w:rsidDel="00000000">
              <w:rPr>
                <w:sz w:val="24"/>
                <w:rtl w:val="0"/>
              </w:rPr>
              <w:t xml:space="preserve"> mājaslapa neatbilst visām Direktīvas 2024/1799 prasībām un attiecīgu pielāgojumu veikšanai nav paredzēts atvēlēt valsts budžeta līdzekļus. Latvija ir izvēlējusies paplašināt savas valsts sadaļas tvērumu, nodrošinot iespēju tajā reģistrēties un savus pakalpojumus piedāvāt arī atjaunotu preču pārdevējiem, defektīvu atjaunojamu preču pircējiem un sabiedrības virzītas remontēšanas iniciatīvām, tādējādi popularizējot arvien plašākas apritīguma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9. panta 2. punkts, 3. punkts un 4. punkta "b" apakšpunkts - Latvija izmanto rīcības brīvību nepiemērot papildus nosacījumus par to, kā piekļūt valsts sadaļai remonta platformā, ņemot vērā, ka remonta platforma ir jauna iespēja remonta pakalpojumu sniegšanas jomā un sākotnēji ir nepieciešams novērtēt, kāda būs gan remontētāju, gan patērētāju aktivitāte tajā;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16. panta 2. punkta b) un c) apakšpunkti - Latvija nav izvēlējusies minēto laika posmu paredzēt ilgāku, ņemot vērā, ka Direktīvas 2024/1799 mērķus efektīvi ir iespējams sasniegt bez attiecīgās rīcības brīvības izmantošanas. Jau šobrīd Latvijā ir noteikts 2 gadu atbilstības periods, kas ar šiem grozījumiem tiks pagarināts par vienu gadu, ja precei tiks veikts remonts. Ņemot vērā minēto jānorāda, ka šādi tiek nodrošināts Direktīvā 2024/1799 noteiktais par to, ka minētais termiņš preces labošanas gadījumā kopumā ir vismaz trīs gadi. Šobrīd arī nav plānots šo atbilstības periodu noteikt garāku, taču, ja ieviešot jaunās remontējamības prasības radīsies nepieciešamība, šo laika periodu būs iespējams pārskatīt.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paredz, ka, ja tiek veikts remonts, lai nodrošinātu preces vai preces ar digitāliem elementiem atbilstību līguma noteikumiem, tad atbilstības laikposmu vienu reizi pagarina par vienu gadu.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Transponējot Direktīvas 2024/1799 normas, nav izmantota rīcības brīvība noteikt stingrākas (papildus)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https://tapportals.mk.gov.lv/public_participation/87f84e5c-7cfb-4bf6-9f51-768d74a61c64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laikā netika saņemti iebildumi vai priekšlikumi.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PTAC uzraudzības funkcijas tiks paplašinātas, ņemot vērā jaunos pienākumus un funkcijas, taču papildus (jaunas) vakantas darba vietas ar šīs Direktīvas 2024/1799 pārņemšanu netiek plānotas.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Attiecīgi Likumprojektā paredzēto normu izpildi, tajā skaitā PTAC noteikto papildu uzraudzības pienākumu un kontaktpunkta funkcijas īstenošana tiks nodrošināta Ekonomikas ministrijas budžeta apakšprogrammā 26.01.00 "Iekšējais tirgus un patērētāju tiesību aizsardzība" piešķirto valsts budžeta līdzekļu un esošo amata vietu ietvaros.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mērķis ir veicināt aprites ekonomiku un ilgtspējīgu patēriņu, paredzams, ka Likumprojektā noteiktās prasības samazinās dažādu preču priekšlaicīgu vai nevajadzīgu nonākšanu atkritumos, tādējādi mazinot dabā nonākušo atkritumu apjomu.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25-TA-1352</w:t>
    </w:r>
    <w:r>
      <w:br/>
    </w:r>
    <w:r w:rsidR="00000000" w:rsidRPr="00000000" w:rsidDel="00000000">
      <w:rPr>
        <w:rtl w:val="0"/>
      </w:rPr>
      <w:t xml:space="preserve">Izdrukāts 29.07.2026. 23.14 - 6.0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25-TA-1352</w:t>
    </w:r>
    <w:r>
      <w:br/>
    </w:r>
    <w:r w:rsidR="00000000" w:rsidRPr="00000000" w:rsidDel="00000000">
      <w:rPr>
        <w:rtl w:val="0"/>
      </w:rPr>
      <w:t xml:space="preserve">Izdrukāts 29.07.2026. 23.14 - 6.0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anotācija_(ex_ante)_25-TA-1352.docx</dc:title>
</cp:coreProperties>
</file>

<file path=docProps/custom.xml><?xml version="1.0" encoding="utf-8"?>
<Properties xmlns="http://schemas.openxmlformats.org/officeDocument/2006/custom-properties" xmlns:vt="http://schemas.openxmlformats.org/officeDocument/2006/docPropsVTypes"/>
</file>