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"Par apropriācijas pārdali no budžeta resora "74. Gadskārtējā valsts budžeta izpildes procesā pārdalāmais finansējums" programmas 18.00.00 "Finansējums valsts drošības stiprināšanas pasākumiem""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rīkojuma projekts Par apropriācijas pārdali no budžeta resora "74. Gadskārtējā valsts budžeta izpildes procesā pārdalāmais finansējums" programmas 18.00.00 "Finansējums valsts drošības stiprināšanas pasākumiem"  (turpmāk – rīkojuma projekts) sagatavots, pamatojoties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Ministru kabineta 2024. gada 13. februāra sēdē nolemto  (prot. Nr.7 30.§ 5.punkts);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likuma “Par valsts budžetu 2024. gadam un budžeta ietvaru 2024., 2025. un 2026. gadam” 70.pantu.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Veikt apropriācijas pārdali, lai ar valsts drošību  saistītā prioritārā pasākuma “Valsts ugunsdzēsības un glābšanas dienesta depo – katastrofu pārvaldības centri” ietvaros segtu izdevumus, kas saistīti ar ugunsdzēsības depo Rūjienā, Saulkrastos, Kandavā un Aizputē izbūves pabeigšanu.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Vispārējā kārtība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2021. gada 18. marta sēdē (prot. Nr.28, 42.§ 2.punkts) pieņemts konceptuāls lēmums atbalstīt papildu finansējumu ar Covid–19 krīzes pārvarēšanu un ekonomikas atlabšanu saistītu augstas gatavības projektu īstenošanai 2021. un 2022. gadā, no tā Iekšlietu ministrijas pasākumam “Infrastruktūras attīstības projektu īstenošana iekšlietu nozarē” līdz 27 300 000 </w:t>
      </w:r>
      <w:r w:rsidR="00000000" w:rsidRPr="00000000" w:rsidDel="00000000">
        <w:rPr>
          <w:i w:val="1"/>
          <w:rtl w:val="0"/>
        </w:rPr>
        <w:t xml:space="preserve">euro</w:t>
      </w:r>
      <w:r w:rsidR="00000000" w:rsidRPr="00000000" w:rsidDel="00000000">
        <w:rPr>
          <w:rtl w:val="0"/>
        </w:rPr>
        <w:t xml:space="preserve">, tajā skaitā Valsts ugunsdzēsības un glābšanas dienesta (turpmāk – VUGD) depo ēku būvniecībai, aprīkošanai un projekta vadības nodrošināšanai (turpmāk – Pasākums).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valdības šajā sēdē lemtajam (prot. Nr.28, 42.§, 6.punkts) augstas gatavības projekti ir pilnībā īstenojami līdz 2022. gada beigām, sasniedzot mērķi.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2021. gada 16. aprīlī izsludinātā atklātā konkursa “Astoņu jaunu C un D kategorijas Valsts ugunsdzēsības un glābšanas dienesta depo būvniecība” (id.Nr. IeM NVA 2021/35) rezultātu, VUGD depo ēku būvniecībai augstas gatavības projektu Pasākuma ietvaros tika noslēgti divi būvniecības līgumi par kopējo summu 11 506 304,36 </w:t>
      </w:r>
      <w:r w:rsidR="00000000" w:rsidRPr="00000000" w:rsidDel="00000000">
        <w:rPr>
          <w:i w:val="1"/>
          <w:rtl w:val="0"/>
        </w:rPr>
        <w:t xml:space="preserve">euro</w:t>
      </w:r>
      <w:r w:rsidR="00000000" w:rsidRPr="00000000" w:rsidDel="00000000">
        <w:rPr>
          <w:rtl w:val="0"/>
        </w:rPr>
        <w:t xml:space="preserve"> (ar PVN), tajā skaitā: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ar SIA “ZENG” 2021. gada 30. jūlijā noslēgts līgums Nr.IeM NVA 2021/90-Būv “C un D kategorijas Valsts ugunsdzēsības un glābšanas dienesta depo būvniecība Kandavā (“Ūdenstornis Liepās”, Kandava, Tukuma novads), Saulkrastos (Rīgas iela 86B, Saulkrasti, Saulkrastu novads), Rūjienā (Ganību iela 6, Rūjiena, Valmieras novads) un Aizputē (Brīvzemnieka bulvāris 12[1], Aizpute, Dienvidkurzemes novads)” par kopējo summu 5 966 224,98 </w:t>
      </w:r>
      <w:r w:rsidR="00000000" w:rsidRPr="00000000" w:rsidDel="00000000">
        <w:rPr>
          <w:i w:val="1"/>
          <w:rtl w:val="0"/>
        </w:rPr>
        <w:t xml:space="preserve">euro </w:t>
      </w:r>
      <w:r w:rsidR="00000000" w:rsidRPr="00000000" w:rsidDel="00000000">
        <w:rPr>
          <w:rtl w:val="0"/>
        </w:rPr>
        <w:t xml:space="preserve">(ar PVN) un darbu izpildes termiņu līdz 2022. gada 15. decembrim;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 SIA “RERE BŪVE” 2021. gada 2. augustā noslēgts līgums Nr.IeM NVA 2021/91-Būv “D kategorijas Valsts ugunsdzēsības un glābšanas dienesta depo būvniecība Priekulē (Galvenā iela 6, Priekule, Dienvidkurzemes novads), Dagdā (Daugavpils iela 16a, Dagda, Krāslavas novads), Ilūkstē (Zemnieku iela 42, Ilūkste, Augšdaugavas novads) un Iecavā (Baldones iela 65, Iecava, Bauskas novads)” par kopējo summu 5 540 079,38 </w:t>
      </w:r>
      <w:r w:rsidR="00000000" w:rsidRPr="00000000" w:rsidDel="00000000">
        <w:rPr>
          <w:i w:val="1"/>
          <w:rtl w:val="0"/>
        </w:rPr>
        <w:t xml:space="preserve">euro</w:t>
      </w:r>
      <w:r w:rsidR="00000000" w:rsidRPr="00000000" w:rsidDel="00000000">
        <w:rPr>
          <w:rtl w:val="0"/>
        </w:rPr>
        <w:t xml:space="preserve"> (ar PVN) un darbu izpildes termiņu līdz 2022. gada 15.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2021. gada 8. maijā izsludinātā atklātā konkursa “Būvuzraudzības veikšana astoņu jaunu C un D kategorijas Valsts ugunsdzēsības un glābšanas dienesta depo būvniecībai” (id.Nr. IeM NVA 2021/44) rezultātu noslēgti divi būvuzraudzības līgumi par kopējo summu 273 210,74 </w:t>
      </w:r>
      <w:r w:rsidR="00000000" w:rsidRPr="00000000" w:rsidDel="00000000">
        <w:rPr>
          <w:i w:val="1"/>
          <w:rtl w:val="0"/>
        </w:rPr>
        <w:t xml:space="preserve">euro</w:t>
      </w:r>
      <w:r w:rsidR="00000000" w:rsidRPr="00000000" w:rsidDel="00000000">
        <w:rPr>
          <w:rtl w:val="0"/>
        </w:rPr>
        <w:t xml:space="preserve"> (ar PVN) par astoņu VUGD depo ēku būvniecības būvuzraudzības pakalpojuma nodrošināšanu. Turklāt saskaņā ar 2021. gada 17. jūnijā izsludinātā atklātā konkursa “Iekšlietu ministrijas infrastruktūras attīstības projektu vadības nodrošināšana” (id.Nr. IeM NVA 2021/71) rezultātu 2021. gada 24. septembrī noslēgts līgums par projekta vadības (inženierkonsultantu) pakalpojuma nodrošināšanu VUGD depo ēku būvniecībai Pasākuma ietvaros. Pakalpojuma sniedzējs būvniecības līgumu ietvaros pilda inženiera funkcijas saskaņā ar Starptautiskās Inženierkonsultantu Federācijas izstrādātajiem noteikumiem “Iekārtu piegādes un projektēšanas – būvniecības darbu līguma noteikumi elektriskajiem un mehāniskajiem darbiem, būvniecības un inženierdarbiem, kuru projektēšanu veic uzņēmējs” (FIDIC Dzeltenā grāmata).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Krievijas Federācijas militāro agresiju pret Ukrainu un tai sekojošajām sankcijām gan no Eiropas Savienības un Latvijas Republikas puses pret Krievijas Federāciju un Baltkrievijas Republiku, gan sankcijām no Krievijas Federācijas un Baltkrievijas Republikas puses pret Eiropas Savienību un Latvijas Republiku, kā arī kara darbības rezultātā būtiski sarūkot preču importam no Ukrainas, ievērojot strauju un neprognozējamu būvizstrādājumu cenu kāpumu, kā arī atsevišķu būvizstrādājumu nepieejamību un darba spēka iztrūkumu, Ministru kabineta 2022. gada 14. jūnija sēdē (prot. Nr.32 39.§ “Informatīvais ziņojums “Par augstas gatavības projektos (jaunu ugunsdzēsības depo būvniecība Aizputē, Dagdā, Iecavā, Ilūkstē, Kandavā, Priekulē, Rūjienā un Saulkrastos) radušos būvniecības izmaksu sadārdzinājumu un tā finansēšanas avotiem””) atbalstīti sniegtie priekšlikumi finansējuma paredzēšanai (pārdalei) radušos būvniecības izmaksu sadārdzinājuma segšanai VUGD depo ēku būvniecības nodrošināšanai Pasākuma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Ministru kabineta 2022. gada 2. novembra sēdē (prot. Nr.55 39.§ „Informatīvais ziņojums „Par augstas gatavības projekta “Infrastruktūras attīstības projektu īstenošana iekšlietu nozarē (jaunu ugunsdzēsības depo būvniecība Aizputē, Dagdā, Iecavā, Ilūkstē, Kandavā, Priekulē, Rūjienā un Saulkrastos””) ir atbalstīts Iekšlietu ministrijas priekšlikums par VUGD depo ēku būvniecības nodrošināšanas Pasākuma īstenošanas termiņa pagarināšanu līdz 2023. gada 30. septembrim.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pieņemtos lēmumus, ar būvkomersantiem tika noslēgtas vienošanās par grozījumiem VUGD depo ēku būvniecības līgumos: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ar SIA “ZENG”:</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piešķirot papildu finansējumu būvdarbu izmaksu sadārdzinājuma segšanai 1 417 619,06 </w:t>
      </w:r>
      <w:r w:rsidR="00000000" w:rsidRPr="00000000" w:rsidDel="00000000">
        <w:rPr>
          <w:i w:val="1"/>
          <w:rtl w:val="0"/>
        </w:rPr>
        <w:t xml:space="preserve">euro</w:t>
      </w:r>
      <w:r w:rsidR="00000000" w:rsidRPr="00000000" w:rsidDel="00000000">
        <w:rPr>
          <w:rtl w:val="0"/>
        </w:rPr>
        <w:t xml:space="preserve"> (ar PVN) apmērā, un darbu izpildes termiņu pagarinot līdz 2023. gada 15. maijam, izņemot objektu Ganību ielā 6, Rūjienā;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pagarinot darbu izpildes termiņu objektam Ganību ielā 6, Rūjienā līdz 2023. gada 31. augustam;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ar SIA “RERE BŪVE”: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piešķirot papildu finansējumu būvdarbu izmaksu sadārdzinājuma segšanai 1 734 708,94 </w:t>
      </w:r>
      <w:r w:rsidR="00000000" w:rsidRPr="00000000" w:rsidDel="00000000">
        <w:rPr>
          <w:i w:val="1"/>
          <w:rtl w:val="0"/>
        </w:rPr>
        <w:t xml:space="preserve">euro</w:t>
      </w:r>
      <w:r w:rsidR="00000000" w:rsidRPr="00000000" w:rsidDel="00000000">
        <w:rPr>
          <w:rtl w:val="0"/>
        </w:rPr>
        <w:t xml:space="preserve"> (ar PVN)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pagarinot darbu izpildes termiņu objektiem Galvenā ielā 6, Priekulē un Baldones ielā 65, Iecavā līdz 2023. gada 15. maijam;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pagarinot darbu izpildes termiņu objektiem Daugavpils ielā 16a, Dagdā un Zemnieku ielā 42, Ilūkstē līdz 2023. gada 30. jūnijam.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 gada pavasarī/vasarā bija vērojams būtisks būvdarbu izpildes tempu kritums, kā rezultātā tika būtiski kavēta būvdarbu īstenošana visos objektos un konstatēti kritiski riski par būvdarbu pabeigšanu noteiktajos termiņos. Abi būvkomersanti izbūves tempu kritumu ir skaidrojuši ar būvniecības nozares recesijas negatīvo ietekmi uz būvkomersantu finanšu līdzekļu plūsmu un apgrūtināto kredītresursu pieejamību. Turklāt, ka vienam no būvkomersantiem – SIA “ZENG” 2022. gada 9. novembrī ierosināts (Rīgas pilsētas tiesas nolēmums Nr.C771061122) un 2023. gada 31. jūlijā uzsākts (Rīgas apgabaltiesas nolēmums Nr.C771061122) tiesiskās aizsardzības process (turpmāk - TAP), TAP pasākumu plāna īstenošanai paredzot 24 mēnešu termiņu.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Pasūtītāja (Nodrošinājuma valsts aģentūras) piesaistītais projektu vadības pakalpojuma sniedzējs sadarbībā ar pasūtītāju nodrošināja pastiprinātu uzraudzību (izskatītas būvkomersantu iknedēļas progresa atskaites par izpildītajiem un plānotajiem būvdarbiem, kā arī apakšuzņēmēju un mehānismu noslodzi objektos, veiktas regulāras objektu apsekošanas dabā, kontrolēta darba programmu izpilde, veikta regulāra sarakste ar būvkomersantiem par saistību izpildes kavējumu un tā iemesliem) un sarunas ar būvkomersantiem (organizētas iknedēļas būvsapulces), lai nodrošinātu būvdarbu turpināšanu, taču faktiski tie tika apturēti vai arī turpinājās minimālā apjomā.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būvdarbu turpināšanu vai atsākšanu, organizētas regulāras sanāksmes ar būvkomersantu patiesajiem labuma guvējiem un atbildīgajām amatpersonām, nosakot saistību izpildes grafikus un uzraugot to izpildi. Turklāt pasūtītāja piesaistītie inženierkonsultanti ir tieši iesaistījušies būvkomersantu darbu organizēšanas un plānošanas procesā, veicot objektu apskates un sniedzot konkrētus priekšlikumus projektu vadītājam un tiešajam būvdarbu vadītājam par darāmo darbu secību un izpildes termiņiem. Būvkomersantiem piemērots līgumsods par saistību izpildes kavējumiem.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Neskatoties uz visiem centieniem, būvdarbus VUGD depo Rūjienā, Saulkrastos, Kandavā un Aizputē izbūves turpināšanai un pabeigšanai komersants tā arī nebija atsācis un Nodrošinājuma valsts aģentūra kā pasūtītājs bija spiest lauzt līgumu.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Pēc zemes gabala sadalīšanas – Ceriņu iela 8A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radušos situāciju ar būvkomersanta, kas nodrošināja VUGD depo Rūjienā, Saulkrastos, Kandavā un Aizputē izbūvi, saistību neizpildi, Iekšlietu ministrija sadarbībā ar Nodrošinājuma valsts aģentūru bija sagatavojušas informatīvo ziņojumu “Par augstas gatavības projekta “Infrastruktūras attīstības projektu īstenošana iekšlietu nozarē (jaunu ugunsdzēsības depo būvniecība Aizputē, Dagdā, Iecavā, Ilūkstē, Kandavā, Priekulē, Rūjienā un Saulkrastos)” īstenošanas procesu, īstenošanas turpināšanu un šim mērķim nepieciešamo finansējumu” (24-TA-190) (izskatīts Ministru kabineta 2024. gada 13. februāra sēdē  (prot. Nr.7 30.§)), informējot par nepieciešamību ugunsdzēsības depo Rūjienā, Saulkrastos, Kandavā un Aizputē izbūves pabeigšanai rīkot jaunu iepirkuma procedūru.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Minētajā sēdē Ministru kabinets ir atbalstījis Iekšlietu ministrijas priekšlikumu par augstas gatavības projekta "Infrastruktūras attīstības projektu īstenošana iekšlietu nozarē" pasākumu – jaunu ugunsdzēsības depo būvniecība Aizputē, Dagdā, Iecavā, Ilūkstē, Kandavā, Priekulē, Rūjienā un Saulkrastos, depo aprīkošana un projekta vadības nodrošināšana – īstenošanas termiņa pagarināšanu līdz 2024. gada 31. decembrim, uzdodot Iekšlietu ministrijai nekavējoties pēc iepirkuma noslēguma ugunsdzēsības depo Rūjienā, Saulkrastos, Kandavā un Aizputē būvniecības pabeigšanai sagatavot un iesniegt izskatīšanai Ministru kabinetā rīkojuma projektu par apropriācijas pārdali ugunsdzēsības depo Rūjienā, Saulkrastos, Kandavā un Aizputē būvniecības pabeigšanas izmaksu segšanai indikatīvi 3 891 654 </w:t>
      </w:r>
      <w:r w:rsidR="00000000" w:rsidRPr="00000000" w:rsidDel="00000000">
        <w:rPr>
          <w:i w:val="1"/>
          <w:rtl w:val="0"/>
        </w:rPr>
        <w:t xml:space="preserve">euro </w:t>
      </w:r>
      <w:r w:rsidR="00000000" w:rsidRPr="00000000" w:rsidDel="00000000">
        <w:rPr>
          <w:rtl w:val="0"/>
        </w:rPr>
        <w:t xml:space="preserve">apmērā no budžeta resora "74. Gadskārtējā valsts budžeta izpildes procesā pārdalāmais finansējums" programmas 18.00.00 "Finansējums valsts drošības stiprināšanas pasākumiem" pasākumam "Valsts ugunsdzēsības un glābšanas dienesta depo – katastrofu pārvaldības centri"  2024. gadam plānoto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dotajam uzdevumam Nodrošinājuma valsts aģentūra 2024. gada 27. martā izsludināja atklātu konkursu “Nepabeigto VUGD depo ēku būvdarbi Rūjienā, Saulkrastos, Kandavā un Aizputē” (iepirkuma identifikācijas numurs IeM NVA 2024/25) (turpmāk – Atklāts konkurss).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Atklāta konkursa iepirkuma priekšmets tika sadalīts divās daļās:</w:t>
      </w:r>
    </w:p>
    <w:tbl>
      <w:tblPr>
        <w:tblStyle w:val="DefaultTable"/>
        <w:bidiVisual w:val="0"/>
        <w:tblW w:w="12060.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70"/>
        <w:gridCol w:w="10589"/>
        <w:tblGridChange w:id="0">
          <w:tblGrid>
            <w:gridCol w:w="1170"/>
            <w:gridCol w:w="10589"/>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Iepirkuma daļa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Iepirkuma 1.daļa – būvdarbi un inženiertīklu tehniskās apkopes un remontdarbu pakalpojumi VUGD “C” kategorijas depo “Ūdenstornis Liepās”, </w:t>
            </w:r>
            <w:r w:rsidR="00000000" w:rsidRPr="00000000" w:rsidDel="00000000">
              <w:rPr>
                <w:sz w:val="24"/>
                <w:b w:val="1"/>
                <w:rtl w:val="0"/>
              </w:rPr>
              <w:t xml:space="preserve">Kandava</w:t>
            </w:r>
            <w:r w:rsidR="00000000" w:rsidRPr="00000000" w:rsidDel="00000000">
              <w:rPr>
                <w:sz w:val="24"/>
                <w:rtl w:val="0"/>
              </w:rPr>
              <w:t xml:space="preserve">, Tukuma novads (kad.nr. 90620100156)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VUGD “D” kategorijas depo Ceriņu iela 8A, </w:t>
            </w:r>
            <w:r w:rsidR="00000000" w:rsidRPr="00000000" w:rsidDel="00000000">
              <w:rPr>
                <w:sz w:val="24"/>
                <w:b w:val="1"/>
                <w:rtl w:val="0"/>
              </w:rPr>
              <w:t xml:space="preserve">Aizpute</w:t>
            </w:r>
            <w:r w:rsidR="00000000" w:rsidRPr="00000000" w:rsidDel="00000000">
              <w:rPr>
                <w:sz w:val="24"/>
                <w:rtl w:val="0"/>
              </w:rPr>
              <w:t xml:space="preserve">, Dienvidkurzemes novads (kad.nr. 64050070171)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Iepirkuma 2.daļa – būvdarbi un inženiertīklu tehniskās apkopes un remontdarbu pakalpojumi VUGD “C” kategorijas depo Rīgas iela 86B, </w:t>
            </w:r>
            <w:r w:rsidR="00000000" w:rsidRPr="00000000" w:rsidDel="00000000">
              <w:rPr>
                <w:sz w:val="24"/>
                <w:b w:val="1"/>
                <w:rtl w:val="0"/>
              </w:rPr>
              <w:t xml:space="preserve">Saulkrasti</w:t>
            </w:r>
            <w:r w:rsidR="00000000" w:rsidRPr="00000000" w:rsidDel="00000000">
              <w:rPr>
                <w:sz w:val="24"/>
                <w:rtl w:val="0"/>
              </w:rPr>
              <w:t xml:space="preserve">, Saulkrastu novads (kad.nr. 80130033065) un VUGD “D” kategorijas depo Ganību iela 6, </w:t>
            </w:r>
            <w:r w:rsidR="00000000" w:rsidRPr="00000000" w:rsidDel="00000000">
              <w:rPr>
                <w:sz w:val="24"/>
                <w:b w:val="1"/>
                <w:rtl w:val="0"/>
              </w:rPr>
              <w:t xml:space="preserve">Rūjiena</w:t>
            </w:r>
            <w:r w:rsidR="00000000" w:rsidRPr="00000000" w:rsidDel="00000000">
              <w:rPr>
                <w:sz w:val="24"/>
                <w:rtl w:val="0"/>
              </w:rPr>
              <w:t xml:space="preserve">, Valmieras novads (kad.nr. 96150012005)</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Noteiktajā piedāvājumu iesniegšanas termiņā (2024. gada 19. aprīlī) saņemts viena būvkomersanta piedāvājums abās iepirkuma daļās:</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60"/>
        <w:gridCol w:w="2307"/>
        <w:gridCol w:w="2244"/>
        <w:gridCol w:w="2128"/>
        <w:tblGridChange w:id="0">
          <w:tblGrid>
            <w:gridCol w:w="2360"/>
            <w:gridCol w:w="2307"/>
            <w:gridCol w:w="2244"/>
            <w:gridCol w:w="21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Iepirkuma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Izbūves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Finanšu piedāvājuma summa,</w:t>
            </w:r>
            <w:r w:rsidR="00000000" w:rsidRPr="00000000" w:rsidDel="00000000">
              <w:rPr>
                <w:sz w:val="24"/>
                <w:b w:val="1"/>
                <w:i w:val="1"/>
                <w:rtl w:val="0"/>
              </w:rPr>
              <w:t xml:space="preserve"> euro</w:t>
            </w:r>
            <w:r w:rsidR="00000000" w:rsidRPr="00000000" w:rsidDel="00000000">
              <w:rPr>
                <w:sz w:val="24"/>
                <w:b w:val="1"/>
                <w:rtl w:val="0"/>
              </w:rPr>
              <w:t xml:space="preserve">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Finanšu piedāvājuma summa, </w:t>
            </w:r>
            <w:r w:rsidR="00000000" w:rsidRPr="00000000" w:rsidDel="00000000">
              <w:rPr>
                <w:sz w:val="24"/>
                <w:b w:val="1"/>
                <w:i w:val="1"/>
                <w:rtl w:val="0"/>
              </w:rPr>
              <w:t xml:space="preserve">euro</w:t>
            </w:r>
            <w:r w:rsidR="00000000" w:rsidRPr="00000000" w:rsidDel="00000000">
              <w:rPr>
                <w:sz w:val="24"/>
                <w:b w:val="1"/>
                <w:rtl w:val="0"/>
              </w:rPr>
              <w:t xml:space="preserve">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Iepirkuma 1.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Kandava, Aizpute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1 930 047,87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2 335 357,92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Iepirkuma 2.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Saulkrasti, Rūjiena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2 438 410,03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2 950 476,14</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4 368 457,90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5 285 834,06</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Pēc tā izvērtēšanas Atklāta konkursa iepirkuma komisija pieņēma lēmumu Atklātu konkursu pārtraukt, ievērojot to, ka iesniegtais vienīgais finanšu piedāvājums tajā būtiski pārsniedza šim mērķim indikatīvi noteiktā nepieciešamā finansējuma apmēru[1].</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Atklāta konkursa rezultātu, Nodrošinājuma valsts aģentūra 2024. gada aprīlī organizēja apspriedi ar piegādātājiem, 2024. gada maijā - objektu apskati, organizējot sarunu procedūru minēto VUGD depo ēku būvdarbu īstenošanai (turpmāk – Sarunu procedūra).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20. jūnijā Sarunu procedūrā ir saņemti 5 pretendentu piedāvājumi.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Sarunu procedūras iepirkuma komisija ir izvērtējusi saņemtos piedāvājumus un noteikusi pretendentus katram attiecīgajam objektam, kuriem būtu piešķiramas  līguma slēgšanas tiesības: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360"/>
        <w:gridCol w:w="2307"/>
        <w:gridCol w:w="2244"/>
        <w:gridCol w:w="2128"/>
        <w:tblGridChange w:id="0">
          <w:tblGrid>
            <w:gridCol w:w="2360"/>
            <w:gridCol w:w="2307"/>
            <w:gridCol w:w="2244"/>
            <w:gridCol w:w="2128"/>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Izbūves vieta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Pretendents, kuram būtu piešķiramas līguma slēgšanas tiesības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Finanšu piedāvājuma summa, </w:t>
            </w:r>
            <w:r w:rsidR="00000000" w:rsidRPr="00000000" w:rsidDel="00000000">
              <w:rPr>
                <w:sz w:val="24"/>
                <w:b w:val="1"/>
                <w:i w:val="1"/>
                <w:rtl w:val="0"/>
              </w:rPr>
              <w:t xml:space="preserve">euro</w:t>
            </w:r>
            <w:r w:rsidR="00000000" w:rsidRPr="00000000" w:rsidDel="00000000">
              <w:rPr>
                <w:sz w:val="24"/>
                <w:b w:val="1"/>
                <w:rtl w:val="0"/>
              </w:rPr>
              <w:t xml:space="preserve"> (bez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Finanšu piedāvājuma summa, </w:t>
            </w:r>
            <w:r w:rsidR="00000000" w:rsidRPr="00000000" w:rsidDel="00000000">
              <w:rPr>
                <w:sz w:val="24"/>
                <w:b w:val="1"/>
                <w:i w:val="1"/>
                <w:rtl w:val="0"/>
              </w:rPr>
              <w:t xml:space="preserve">euro</w:t>
            </w:r>
            <w:r w:rsidR="00000000" w:rsidRPr="00000000" w:rsidDel="00000000">
              <w:rPr>
                <w:sz w:val="24"/>
                <w:b w:val="1"/>
                <w:rtl w:val="0"/>
              </w:rPr>
              <w:t xml:space="preserve"> (ar PVN)</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Kandava</w:t>
            </w:r>
            <w:r w:rsidR="00000000" w:rsidRPr="00000000" w:rsidDel="00000000">
              <w:rPr>
                <w:sz w:val="24"/>
                <w:rtl w:val="0"/>
              </w:rPr>
              <w:t xml:space="preserve"> (“Ūdenstornis Liepās”, Kandava, Tukuma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Pretendents Nr.1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738 447,10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893 520,99</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Aizpute</w:t>
            </w:r>
            <w:r w:rsidR="00000000" w:rsidRPr="00000000" w:rsidDel="00000000">
              <w:rPr>
                <w:sz w:val="24"/>
                <w:rtl w:val="0"/>
              </w:rPr>
              <w:t xml:space="preserve"> (Brīvzemnieka bulvāris 12[2], Aizpute, Dienvidkurzemes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Pretendents Nr.2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916 574,20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1 109 054,78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Rūjiena </w:t>
            </w:r>
            <w:r w:rsidR="00000000" w:rsidRPr="00000000" w:rsidDel="00000000">
              <w:rPr>
                <w:sz w:val="24"/>
                <w:rtl w:val="0"/>
              </w:rPr>
              <w:t xml:space="preserve">(Ganību iela 6, Rūjiena, Valmieras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Pretendents Nr.3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1 066 390,30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1 290 332,26</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Saulkrasti</w:t>
            </w:r>
            <w:r w:rsidR="00000000" w:rsidRPr="00000000" w:rsidDel="00000000">
              <w:rPr>
                <w:sz w:val="24"/>
                <w:rtl w:val="0"/>
              </w:rPr>
              <w:t xml:space="preserve"> (Rīgas iela 86B, Saulkrasti, Saulkrastu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Pretendents Nr.3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587 158,81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710 462,16</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3 308 570,41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4 003 370,19</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Iepirkumā iesniegtie piedāvājumi paredz nodrošināt VUGD depo būvniecības pabeigšanu maksimāli 6 mēnešu laikā no būvdarbu līgumu noslēgšanas. Ievērojot nepieciešamību rīkot atkārtotu iepirkumu, būvdarbu pabeigšana līdz 2024. gada beigām vairs nav iespējama.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Minēto būvobjektu: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būvdarbu īstenošanas būvuzraudzību paredzēts nodrošināt 2021. gada 8. maijā izsludinātā atklātā konkursa “Būvuzraudzības veikšana astoņu jaunu C un D kategorijas Valsts ugunsdzēsības un glābšanas dienesta depo būvniecībai” (id.Nr. IeM NVA 2021/44) rezultātā noslēgtā būvuzraudzības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inženierkonsultantu pakalpojumus saņemt 2021. gada 17. jūnijā izsludinātā atklātā konkursa “Iekšlietu ministrijas infrastruktūras attīstības projektu vadības nodrošināšana” (id.Nr. IeM NVA 2021/71) rezultātā 2021. gada 24. septembrī noslēgtā līguma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2024. gada 13. februāra sēdē  (prot. Nr.7 30.§) pieņemtajā protokollēmuma 4.punktā noteikts Iekšlietu ministrijai nodrošināt ugunsdzēsības depo Rūjienā, Saulkrastos, Kandavā un Aizputē  saglabāšanu (konservāciju, apsardzi, uzturēšanu) līdz būvdarbu atsākšanai, kā arī saistīto izdevumu segšanu Iekšlietu ministrijai pamatfunkciju izpildei piešķirto valsts budžeta līdzekļu ietvaros, nepieciešamības gadījumā sagatavojot un iesniedzot Finanšu ministrijā priekšlikumus apropriācijas pārdalei starp budžeta programmām, apakšprogrammām un izdevumu klasifikācijas kodiem atbilstoši ekonomiskajām kategorijām. Minētais uzdevums izpildīts, Nodrošinājuma valsts aģentūrai nodrošinot tā izpildi un sedzot ar tā izpildi saistītos izdevumus tai pamatfunkciju izpildei piešķirtā finansējuma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veikta naudas plūsmas un attiecīgi VUGD depo būvniecības Rūjienā, Saulkrastos, Kandavā un Aizputē pabeigšanai un saistīto pakalpojumu izmaksu segšanai nepieciešamā finansējuma prognoze 2024. un 2025. gadam:</w:t>
      </w:r>
    </w:p>
    <w:tbl>
      <w:tblPr>
        <w:tblStyle w:val="DefaultTable"/>
        <w:bidiVisual w:val="0"/>
        <w:tblW w:w="9641.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415"/>
        <w:gridCol w:w="858"/>
        <w:gridCol w:w="1073"/>
        <w:gridCol w:w="1033"/>
        <w:gridCol w:w="877"/>
        <w:gridCol w:w="1132"/>
        <w:gridCol w:w="1073"/>
        <w:gridCol w:w="976"/>
        <w:tblGridChange w:id="0">
          <w:tblGrid>
            <w:gridCol w:w="1415"/>
            <w:gridCol w:w="858"/>
            <w:gridCol w:w="1073"/>
            <w:gridCol w:w="1033"/>
            <w:gridCol w:w="877"/>
            <w:gridCol w:w="1132"/>
            <w:gridCol w:w="1073"/>
            <w:gridCol w:w="976"/>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VUGD depo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Būvdarbi, </w:t>
            </w:r>
            <w:r w:rsidR="00000000" w:rsidRPr="00000000" w:rsidDel="00000000">
              <w:rPr>
                <w:sz w:val="24"/>
                <w:b w:val="1"/>
                <w:i w:val="1"/>
                <w:rtl w:val="0"/>
              </w:rPr>
              <w:t xml:space="preserve">euro</w:t>
            </w:r>
            <w:r w:rsidR="00000000" w:rsidRPr="00000000" w:rsidDel="00000000">
              <w:rPr>
                <w:sz w:val="24"/>
                <w:b w:val="1"/>
                <w:rtl w:val="0"/>
              </w:rPr>
              <w:t xml:space="preserve">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Autor-uzraudzība, </w:t>
            </w:r>
            <w:r w:rsidR="00000000" w:rsidRPr="00000000" w:rsidDel="00000000">
              <w:rPr>
                <w:sz w:val="24"/>
                <w:b w:val="1"/>
                <w:i w:val="1"/>
                <w:rtl w:val="0"/>
              </w:rPr>
              <w:t xml:space="preserve">euro</w:t>
            </w:r>
            <w:r w:rsidR="00000000" w:rsidRPr="00000000" w:rsidDel="00000000">
              <w:rPr>
                <w:sz w:val="24"/>
                <w:b w:val="1"/>
                <w:rtl w:val="0"/>
              </w:rPr>
              <w:t xml:space="preserve">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Būvuzraudzība, </w:t>
            </w:r>
            <w:r w:rsidR="00000000" w:rsidRPr="00000000" w:rsidDel="00000000">
              <w:rPr>
                <w:sz w:val="24"/>
                <w:b w:val="1"/>
                <w:i w:val="1"/>
                <w:rtl w:val="0"/>
              </w:rPr>
              <w:t xml:space="preserve">euro</w:t>
            </w:r>
            <w:r w:rsidR="00000000" w:rsidRPr="00000000" w:rsidDel="00000000">
              <w:rPr>
                <w:sz w:val="24"/>
                <w:b w:val="1"/>
                <w:rtl w:val="0"/>
              </w:rPr>
              <w:t xml:space="preserve">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Inženier-konsultantu pakalpojumi, </w:t>
            </w:r>
            <w:r w:rsidR="00000000" w:rsidRPr="00000000" w:rsidDel="00000000">
              <w:rPr>
                <w:sz w:val="24"/>
                <w:b w:val="1"/>
                <w:i w:val="1"/>
                <w:rtl w:val="0"/>
              </w:rPr>
              <w:t xml:space="preserve">euro</w:t>
            </w:r>
            <w:r w:rsidR="00000000" w:rsidRPr="00000000" w:rsidDel="00000000">
              <w:rPr>
                <w:sz w:val="24"/>
                <w:b w:val="1"/>
                <w:rtl w:val="0"/>
              </w:rPr>
              <w:t xml:space="preserve"> (ar PVN)</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(noapaļojot līdz veseliem </w:t>
            </w:r>
            <w:r w:rsidR="00000000" w:rsidRPr="00000000" w:rsidDel="00000000">
              <w:rPr>
                <w:sz w:val="24"/>
                <w:b w:val="1"/>
                <w:i w:val="1"/>
                <w:rtl w:val="0"/>
              </w:rPr>
              <w:t xml:space="preserve">euro</w:t>
            </w:r>
            <w:r w:rsidR="00000000" w:rsidRPr="00000000" w:rsidDel="00000000">
              <w:rPr>
                <w:sz w:val="24"/>
                <w:b w:val="1"/>
                <w:rtl w:val="0"/>
              </w:rPr>
              <w:t xml:space="preserve">), </w:t>
            </w:r>
            <w:r w:rsidR="00000000" w:rsidRPr="00000000" w:rsidDel="00000000">
              <w:rPr>
                <w:sz w:val="24"/>
                <w:b w:val="1"/>
                <w:i w:val="1"/>
                <w:rtl w:val="0"/>
              </w:rPr>
              <w:t xml:space="preserve">euro</w:t>
            </w:r>
            <w:r w:rsidR="00000000" w:rsidRPr="00000000" w:rsidDel="00000000">
              <w:rPr>
                <w:sz w:val="24"/>
                <w:b w:val="1"/>
                <w:rtl w:val="0"/>
              </w:rPr>
              <w:t xml:space="preserve">, tajā skaitā: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Aizpute</w:t>
            </w:r>
            <w:r w:rsidR="00000000" w:rsidRPr="00000000" w:rsidDel="00000000">
              <w:rPr>
                <w:sz w:val="24"/>
                <w:rtl w:val="0"/>
              </w:rPr>
              <w:t xml:space="preserve"> (Brīvzemnieka bulvāris 12[2], Aizpute, Dienvidkurzemes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1 109 054,78</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12 210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25 470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32 307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1 179 042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983 287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195 755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Kandava</w:t>
            </w:r>
            <w:r w:rsidR="00000000" w:rsidRPr="00000000" w:rsidDel="00000000">
              <w:rPr>
                <w:sz w:val="24"/>
                <w:rtl w:val="0"/>
              </w:rPr>
              <w:t xml:space="preserve"> (“Ūdenstornis Liepās”, Kandava, Tukuma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893 520,99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10 800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24 380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26 923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955 624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794 859</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160 765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Saulkrasti</w:t>
            </w:r>
            <w:r w:rsidR="00000000" w:rsidRPr="00000000" w:rsidDel="00000000">
              <w:rPr>
                <w:sz w:val="24"/>
                <w:rtl w:val="0"/>
              </w:rPr>
              <w:t xml:space="preserve"> (Rīgas iela 86B, Saulkrasti, Saulkrastu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710 462,16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13 150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36 360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37 692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797 665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596 145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201 520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Rūjiena</w:t>
            </w:r>
            <w:r w:rsidR="00000000" w:rsidRPr="00000000" w:rsidDel="00000000">
              <w:rPr>
                <w:sz w:val="24"/>
                <w:rtl w:val="0"/>
              </w:rPr>
              <w:t xml:space="preserve"> (Ganību iela 6, Rūjiena, Valmieras novads)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1 290 332,26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10 802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22 164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26 923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1 350 221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1 126 401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223 820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(noapaļojot līdz veseliem </w:t>
            </w:r>
            <w:r w:rsidR="00000000" w:rsidRPr="00000000" w:rsidDel="00000000">
              <w:rPr>
                <w:sz w:val="24"/>
                <w:b w:val="1"/>
                <w:i w:val="1"/>
                <w:rtl w:val="0"/>
              </w:rPr>
              <w:t xml:space="preserve">euro</w:t>
            </w:r>
            <w:r w:rsidR="00000000" w:rsidRPr="00000000" w:rsidDel="00000000">
              <w:rPr>
                <w:sz w:val="24"/>
                <w:b w:val="1"/>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4 003 371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46 962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108 374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123 845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4 282 552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3 500 692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781 860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Detalizētāk skatīt Atklāta konkursa ziņojumu (pieejams https://www.eis.gov.lv/EKEIS/Supplier/Procurement/120278)</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Pēc zemes gabala sadalīšanas – Ceriņu iela 8A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VUGD depo būvniecības Rūjienā, Saulkrastos, Kandavā un Aizputē pabeigšanu un saistīto pakalpojumu izmaksu segšanu, sagatavotais rīkojuma projekts paredz: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Pamatojoties uz likuma "Par valsts budžetu 2024. gadam un budžeta ietvaru 2024., 2025. un 2026. gadam" 70. pantu, atbalstīt apropriācijas pārdali 3 500 692 </w:t>
      </w:r>
      <w:r w:rsidR="00000000" w:rsidRPr="00000000" w:rsidDel="00000000">
        <w:rPr>
          <w:i w:val="1"/>
          <w:rtl w:val="0"/>
        </w:rPr>
        <w:t xml:space="preserve">euro</w:t>
      </w:r>
      <w:r w:rsidR="00000000" w:rsidRPr="00000000" w:rsidDel="00000000">
        <w:rPr>
          <w:rtl w:val="0"/>
        </w:rPr>
        <w:t xml:space="preserve"> apmērā no budžeta resora "74. Gadskārtējā valsts budžeta izpildes procesā pārdalāmais finansējums" programmas 18.00.00 "Finansējums valsts drošības stiprināšanas pasākumiem" uz Iekšlietu ministrijas budžeta apakšprogrammu 40.02.00 "Nekustamais īpašums un centralizētais iepirkums", lai ar valsts drošību saistītā prioritārā pasākuma "Valsts ugunsdzēsības un glābšanas dienesta depo – katastrofu pārvaldības centri" ietvaros nodrošinātu ugunsdzēsības depo Rūjienā, Saulkrastos, Kandavā un Aizputē izbūves pabeigšanu.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Iekšlietu ministrijai normatīvajos aktos noteiktajā kārtībā sagatavot un iesniegt Finanšu ministrijā pieprasījumu valsts budžeta apropriācijas pārdalei atbilstoši rīkojuma 1. punktam.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Finanšu ministram normatīvajos aktos noteiktajā kārtībā informēt Saeimas Budžeta un finanšu (nodokļu) komisiju par rīkojuma 1. punktā minēto apropriācijas pārdali un, ja Saeimas Budžeta un finanšu (nodokļu) komisija piecu darbdienu laikā pēc attiecīgās informācijas saņemšanas nav izteikusi iebildumus, veikt apropriācijas pārdali.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Savukārt, lai nodrošinātu attiecīgo izdevumu segšanu 2025. gadā, rīkojuma projektam pievienotais Ministru kabineta sēdes protokollēmuma projekts paredz atbalstīt Iekšlietu ministrijas priekšlikumu par bāzes izdevumu precizēšanu un: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1.palielināt finansējumu Iekšlietu ministrijas budžeta apakšprogrammā 40.02.00 "Nekustamais īpašums un centralizētais iepirkums" 2025. gadam par 781 860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samazināt budžeta resora "74. Gadskārtējā valsts budžeta izpildes procesā pārdalāmais finansējums" programmā 18.00.00 "Finansējums valsts drošības stiprināšanas pasākumiem" ar valsts drošību saistītajiem prioritārajiem pasākumiem plānoto finansējumu 2025. gadam par 781 860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Turklāt tas paredz atbalstīt Iekšlietu ministrijas priekšlikumu par: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līgumu slēgšanas tiesību piešķiršanu atbilstoši sarunu procedūras “Nepabeigto VUGD depo ēku būvdarbi Rūjienā, Saulkrastos, Kandavā un Aizputē” (identifikācijas numurs IeM NVA 2024/60) rezultātam, nodrošinot ugunsdzēsības depo Rūjienā, Saulkrastos, Kandavā un Aizputē izbūves pabeigšanu, un atļaut Iekšlietu ministrijai (Nodrošinājuma valsts aģentūrai) uzņemties ilgtermiņa saistības 2024. - 2025. gadam ne vairāk kā 4 282 552_</w:t>
      </w:r>
      <w:r w:rsidR="00000000" w:rsidRPr="00000000" w:rsidDel="00000000">
        <w:rPr>
          <w:i w:val="1"/>
          <w:rtl w:val="0"/>
        </w:rPr>
        <w:t xml:space="preserve">euro</w:t>
      </w:r>
      <w:r w:rsidR="00000000" w:rsidRPr="00000000" w:rsidDel="00000000">
        <w:rPr>
          <w:rtl w:val="0"/>
        </w:rPr>
        <w:t xml:space="preserve">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augstas gatavības projekta "Infrastruktūras attīstības projektu īstenošana iekšlietu nozarē" pasākumu – jaunu ugunsdzēsības depo būvniecība Aizputē, Dagdā, Iecavā, Ilūkstē, Kandavā, Priekulē, Rūjienā un Saulkrastos, depo aprīkošana un projekta vadības nodrošināšana – īstenošanas termiņa pagarināšanu līdz 2025. gada 31. decembrim.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Būvdarbu pabeigšana ir plānota 2025. gada I ceturksnī, ja būvdarbu līgumi ir noslēgti līdz 2024. gada augusta beigām, taču ir nepieciešama arī objektu aprīkošana, nodošana pasūtītājam un lietotājiem, attiecīgi Pasākuma īstenošanas pabeigšanas gala termiņš (2025. gada 31. decembris) ir noteikts, ievērojot piesardzību.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205"/>
        <w:gridCol w:w="1205"/>
        <w:gridCol w:w="1205"/>
        <w:gridCol w:w="1205"/>
        <w:gridCol w:w="1205"/>
        <w:gridCol w:w="1205"/>
        <w:gridCol w:w="1205"/>
        <w:gridCol w:w="1205"/>
        <w:tblGridChange w:id="0">
          <w:tblGrid>
            <w:gridCol w:w="1205"/>
            <w:gridCol w:w="1205"/>
            <w:gridCol w:w="1205"/>
            <w:gridCol w:w="1205"/>
            <w:gridCol w:w="1205"/>
            <w:gridCol w:w="1205"/>
            <w:gridCol w:w="1205"/>
            <w:gridCol w:w="1205"/>
          </w:tblGrid>
        </w:tblGridChange>
      </w:tblGrid>
      <w:tr>
        <w:tc>
          <w:tcPr>
            <w:shd w:fill="ffffff"/>
            <w:vAlign w:val="bottom"/>
            <w:noWrap w:val="true"/>
            <w:vMerge w:val="restart"/>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Rādītājs</w:t>
            </w:r>
          </w:p>
        </w:tc>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2024</w:t>
            </w:r>
          </w:p>
        </w:tc>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Turpmākie trīs gadi (</w:t>
            </w:r>
            <w:r w:rsidR="00000000" w:rsidRPr="00000000" w:rsidDel="00000000">
              <w:rPr>
                <w:sz w:val="24"/>
                <w:b w:val="1"/>
                <w:i w:val="1"/>
                <w:rtl w:val="0"/>
              </w:rPr>
              <w:t xml:space="preserve">euro</w:t>
            </w:r>
            <w:r w:rsidR="00000000" w:rsidRPr="00000000" w:rsidDel="00000000">
              <w:rPr>
                <w:sz w:val="24"/>
                <w:b w:val="1"/>
                <w:rtl w:val="0"/>
              </w:rPr>
              <w:t xml:space="preserve">)</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vMerge w:val="continue"/>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2025</w:t>
            </w:r>
          </w:p>
        </w:tc>
        <w:tc>
          <w:tcPr>
            <w:shd w:fill="ffffff"/>
            <w:vAlign w:val="center"/>
            <w:noWrap w:val="true"/>
            <w:gridSpan w:val="2"/>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2026</w:t>
            </w:r>
          </w:p>
        </w:tc>
        <w:tc>
          <w:tcPr>
            <w:shd w:fill="ffffff"/>
            <w:vAlign w:val="center"/>
            <w:noWrap w:val="true"/>
            <w:gridSpan w:val="1"/>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b w:val="1"/>
                <w:rtl w:val="0"/>
              </w:rPr>
              <w:t xml:space="preserve">2027</w:t>
            </w:r>
          </w:p>
        </w:tc>
      </w:tr>
      <w:tr>
        <w:tc>
          <w:tcPr>
            <w:shd w:fill="ffffff"/>
            <w:vAlign w:val="center"/>
            <w:noWrap w:val="true"/>
            <w:vMerge w:val="contin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kārtējā gadā, salīdzinot ar valsts budžetu kārtējam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saskaņā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izmaiņas, salīdzinot ar vidēja termiņa budžeta ietvaru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7</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b w:val="1"/>
                <w:rtl w:val="0"/>
              </w:rPr>
              <w:t xml:space="preserve">8</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 Budžeta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1.1. valsts pamatbudžets, tai skaitā ieņēmumi no maksas pakalpojumiem un citi pašu ieņēmumi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1.3.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 Budžeta izdevumi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781 860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781 860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2.2. valsts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2.3.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-781 860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-781 860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3.3.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4. Finanšu līdzekļi papildu izdevumu finansēšanai (kompensējošu izdevumu palielinājumu norāda ar "-" zīmi)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3 500 692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781 860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 Precizēta finansiālā 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5.1. valsts pamatbudžets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5.2. speciālais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5.3. pašvaldību budžets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sz w:val="24"/>
                <w:rtl w:val="0"/>
              </w:rPr>
              <w:t xml:space="preserve">0</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 Detalizēts ieņēmumu un izdevumu aprēķins (ja nepieciešams, detalizētu ieņēmumu un izdevumu aprēķinu var pievienot anotācijas (ex-ante) pielikumā)</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6.1. detalizēts ieņēmumu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6.2. detalizēts izdevumu aprēķins</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Iekšlietu ministrijai (Nodrošinājuma valsts aģentūrai) papildu nepieciešams finansējums 4 282 552 </w:t>
            </w:r>
            <w:r w:rsidR="00000000" w:rsidRPr="00000000" w:rsidDel="00000000">
              <w:rPr>
                <w:sz w:val="24"/>
                <w:i w:val="1"/>
                <w:rtl w:val="0"/>
              </w:rPr>
              <w:t xml:space="preserve">euro</w:t>
            </w:r>
            <w:r w:rsidR="00000000" w:rsidRPr="00000000" w:rsidDel="00000000">
              <w:rPr>
                <w:sz w:val="24"/>
                <w:rtl w:val="0"/>
              </w:rPr>
              <w:t xml:space="preserve"> apmērā (Iekšlietu ministrijas budžeta apakšprogramma 40.02.00 "Nekustamais īpašums un centralizētais iepirkums") (IzEKK 5000 “Pamatkapitāla veidošana”), lai ar valsts drošību saistīto prioritāro pasākumu ietvaros nodrošinātu VUGD depo ēku Rūjienā, Saulkrastos, Kandavā un Aizputē būvniecības pabeigšanu un saistīto pakalpojumu izdevumu segšanu: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 </w:t>
            </w:r>
          </w:p>
          <w:tbl>
            <w:tblPr>
              <w:tblStyle w:val="DefaultTable"/>
              <w:bidiVisual w:val="0"/>
              <w:tblW w:w="12765.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1196"/>
              <w:gridCol w:w="3710"/>
              <w:gridCol w:w="2899"/>
              <w:gridCol w:w="1958"/>
              <w:gridCol w:w="2251"/>
              <w:tblGridChange w:id="0">
                <w:tblGrid>
                  <w:gridCol w:w="1196"/>
                  <w:gridCol w:w="3710"/>
                  <w:gridCol w:w="2899"/>
                  <w:gridCol w:w="1958"/>
                  <w:gridCol w:w="225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Nosaukums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Summa, </w:t>
                  </w:r>
                  <w:r w:rsidR="00000000" w:rsidRPr="00000000" w:rsidDel="00000000">
                    <w:rPr>
                      <w:sz w:val="24"/>
                      <w:b w:val="1"/>
                      <w:i w:val="1"/>
                      <w:rtl w:val="0"/>
                    </w:rPr>
                    <w:t xml:space="preserve">euro</w:t>
                  </w:r>
                  <w:r w:rsidR="00000000" w:rsidRPr="00000000" w:rsidDel="00000000">
                    <w:rPr>
                      <w:sz w:val="24"/>
                      <w:b w:val="1"/>
                      <w:rtl w:val="0"/>
                    </w:rPr>
                    <w:t xml:space="preserve"> (ar PVN), tajā skaitā: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2024. gadam</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2025. gadam</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Būvdarbi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4 003 371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3 305 996</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697 375</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Autoruzraudzība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46 962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36 251</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10 711</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Inženierkonsultantu pakalpojumi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123 845</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75 383</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48 462</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Būvuzraudzība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108 374</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83 062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25 312</w:t>
                  </w:r>
                </w:p>
              </w:tc>
            </w:tr>
            <w:tr>
              <w:tc>
                <w:tcPr>
                  <w:shd w:fill="ffffff"/>
                  <w:vAlign w:val="center"/>
                  <w:noWrap w:val="true"/>
                  <w:vMerge w:val="restart"/>
                  <w:gridSpan w:val="2"/>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KOPĀ (noapaļojot līdz veseliem </w:t>
                  </w:r>
                  <w:r w:rsidR="00000000" w:rsidRPr="00000000" w:rsidDel="00000000">
                    <w:rPr>
                      <w:sz w:val="24"/>
                      <w:b w:val="1"/>
                      <w:i w:val="1"/>
                      <w:rtl w:val="0"/>
                    </w:rPr>
                    <w:t xml:space="preserve">euro</w:t>
                  </w:r>
                  <w:r w:rsidR="00000000" w:rsidRPr="00000000" w:rsidDel="00000000">
                    <w:rPr>
                      <w:sz w:val="24"/>
                      <w:b w:val="1"/>
                      <w:rtl w:val="0"/>
                    </w:rPr>
                    <w:t xml:space="preserv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4 282 552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3 500 692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b w:val="1"/>
                      <w:rtl w:val="0"/>
                    </w:rPr>
                    <w:t xml:space="preserve">781 860</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Sākotnēja VUGD depo ēku Rūjienā, Saulkrastos, Kandavā un Aizputē būvniecības pabeigšanas un saistīto pakalpojumu izdevumu segšanai nepieciešamā finansējuma prognoze veikta, ievērojot atlikušo darbu vērtību un prognozējot sadārdzinājumu 30-40% apmērā. Ir ņemti vērā arī riski saistībā ar nepieciešamību jaunajam būvniekam nodrošināt garantijas saistības un atbildību (neskaidrību) par iepriekš īstenotajiem būvdarbiem, piemērojot 1,3 koeficientu. Vienlaikus jāņem vērā, ka prognoze ir veikta 2024. gada janvārī, pieņemot, ka pēc iepirkuma organizēšanas (aptuveni 3 mēneši), būvdarbi varētu tikt atsākti 2024. gada maijā-jūnijā, un, ņemot vērā objektu gatavības pakāpi, tie tiktu pabeigti līdz agrajam rudenim, taču faktiski, ievērojot to, ka ir bijis nepieciešams organizēt atkārtotu iepirkuma procedūru, būvdarbi varēs tikt atsākti ne ātrāk par 2024. gada septembri un norisināsies rudens un ziemas periodos. Minētais nozīmē, ka būvkomersanti savos finanšu piedāvājumos prognozētajās būvdarbu izmaksu tāmēs ir ietvēruši arī papildu izmaksas, kas tiem radīsies sakarā ar būvdarbu īstenošanas nepieciešamību minētajā laika periodā, starp kuriem jāmin katra attiecīgā objekta apsildīšana, apgaismojums, ceļu un laukumu attīrīšana no sniega u.tml., kas sākotnējā prognozē nebija ietverti. Organizējot apspriedi ar potenciālajiem būvdarbu veicējiem 2024. gada maijā, tie norādīja, ka, ievērojot objektu gatavības pakāpi, dotajā gadījumā nav korekti prognozi balstīt uz atlikušo darbu vērtību, gluži otrādi, būvkomersantiem pie šādas objektu gatavības pakāpes ir jārēķinās ar būtiskiem riskiem un atbildību par iepriekšējā būvnieka paveikto, lai nodrošinātu garantijas saistību izpildi.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Papildus minētajam, būvkomersanti ir norādījuši uz pieaugošo darba spēka deficītu būvdarbu tirgū, attiecīgi pieaugot darba spēka izmaksām, kā arī mašīnu un mehānismu uzturēšanas un ekspluatācijas izmaksu pieauguma tendencēm. Arī atbilstoši statistikas datiem būvniecības izmaksu pieaugums 2024. gada II ceturksnī pret 2021. gada cenām veidoja 29,2% (skatīt https://data.stat.gov.lv/pxweb/lv/OSP_PUB/START__VEK__RC__RCB/RCB030c/table/tableViewLayout1/).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Saistīto pakalpojumu (autoruzraudzība, būvuzraudzība, inženierkonsultantu pakalpojumi) izmaksu prognoze ir bijusi ticama un šim mērķim nepieciešamā finansējuma apmērs nav mainījies.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rPr>
                <w:sz w:val="24"/>
                <w:rtl w:val="0"/>
              </w:rPr>
            </w:pPr>
            <w:r w:rsidR="00000000" w:rsidRPr="00000000" w:rsidDel="00000000">
              <w:rPr>
                <w:sz w:val="24"/>
                <w:rtl w:val="0"/>
              </w:rPr>
              <w:t xml:space="preserve">7. Amata vietu skaita izmaiņas (palielinājuma gadījumā: izvērsts pamatojums, izvērtējums par esošo resursu pārskatīšanas iespējām, t.sk. vakanto štata vietu, ilgstošo vakanču izmantošanu u.c.)</w:t>
            </w:r>
          </w:p>
        </w:tc>
        <w:tc>
          <w:tcPr>
            <w:shd w:fill="ffffff"/>
            <w:vAlign w:val="center"/>
            <w:noWrap w:val="true"/>
            <w:gridSpan w:val="7"/>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Izdevumi tiks segti Iekšlietu ministrijas budžeta apakšprogrammas 40.02.00 "Nekustamais īpašums un centralizētais iepirkums" ietvaros, līdzekļus pārdalot no budžeta resora ''74. Gadskārtējā valsts budžeta izpildes procesā pārdalāmais finansējums'' programmas 18.00.00 "Finansējums valsts drošības stiprināšanas pasākumiem", lai ar valsts drošību saistītā prioritārā pasākuma "Valsts ugunsdzēsības un glābšanas dienesta depo – katastrofu pārvaldības centri" ietvaros nodrošinātu ugunsdzēsības depo Rūjienā, Saulkrastos, Kandavā un Aizputē izbūves pabeigšanu; 2024.-2025. gadā izdevumi ir uzskatāmi par vienreizējo pasākumu likuma “Par valsts budžetu 2024. gadam un budžeta ietvaru 2024., 2025. un 2026. gadam” 5.panta 3.punkta izpratnē, kas tiek izslēgti no vispārējās valdības budžeta strukturālās bilances mērķa.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Likumu par budžetu un finanšu vadību budžeta finansētu institūciju vadītāji ir atbildīgi par Likumā par budžetu un finanšu vadību noteiktās kārtības un prasību ievērošanu, izpildi un kontroli, kā arī par budžeta līdzekļu efektīvu un ekonomisku izlietošanu atbilstoši paredzētajiem mērķiem.</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 Nodrošinājuma valsts aģentūra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24-TA-1676</w:t>
    </w:r>
    <w:r>
      <w:br/>
    </w:r>
    <w:r w:rsidR="00000000" w:rsidRPr="00000000" w:rsidDel="00000000">
      <w:rPr>
        <w:rtl w:val="0"/>
      </w:rPr>
      <w:t xml:space="preserve">Izdrukāts 29.07.2026. 21.45 - 2.0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24-TA-1676</w:t>
    </w:r>
    <w:r>
      <w:br/>
    </w:r>
    <w:r w:rsidR="00000000" w:rsidRPr="00000000" w:rsidDel="00000000">
      <w:rPr>
        <w:rtl w:val="0"/>
      </w:rPr>
      <w:t xml:space="preserve">Izdrukāts 29.07.2026. 21.45 - 2.0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anotācija_(ex_ante)_24-TA-1676.docx</dc:title>
</cp:coreProperties>
</file>

<file path=docProps/custom.xml><?xml version="1.0" encoding="utf-8"?>
<Properties xmlns="http://schemas.openxmlformats.org/officeDocument/2006/custom-properties" xmlns:vt="http://schemas.openxmlformats.org/officeDocument/2006/docPropsVTypes"/>
</file>