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5. jūlija noteikumos Nr. 418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pirmās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2022. gada 5. jūlija noteikumos Nr. 418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pirmās kārtas īstenošanas noteikumi" (turpmāk - MK noteikumu projekts) izstrādāts, lai precizētu pieejamo finansējumu un veiktu tehniskus precizējumus.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mērķis ir precizēt pieejamo finansējumu un veiktu tehniskus precizējumus, lai nodrošinātu pilnīgu Atveseļošanas fonda finansējuma ieguldīšanu.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palielinātu investīciju apjomu pētniecībā un attīstībā, Atveseļošanas fonda ietvaros ir piešķirts finansējums ekonomikas transformācijas un produktivitātes reformai, 5.1. reformu un investīciju virziena “Produktivitātes paaugstināšana caur investīciju apjoma palielināšanu P&amp;A” 5.1.1.r. reformas ”Inovāciju pārvaldība un privāto P&amp;A investīciju motivācija” 5.1.1.2.i. investīcijai “Atbalsta instruments pētniecības un internacionalizācijas veicināšanai” (turpmāk – 5.1.1.2.i. investīcija) ietvaros uz 2025.gada 30.oktobri ir noslēgti līgumi  par 101 036 412 eiro, taču kopējais Atveseļošanas fonda 5.1.1.2.i. investīcijas finansējums ir 108 474 469 eiro, kas nozīmē, ka pastāv brīvais finansējums 7 438 057 eiro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5.1.1.2.i. investīcija tiek ieviesta četrās kārtās: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Pārejas finansējums – Ministru kabineta 2022. gada 5. jūlija noteikumi Nr.418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pirmās kārtas īstenošanas noteikumi” (turpmāk – Noteikumi Nr.418). Kopējais plānotais finansējums bija 25 000 000 eiro, taču faktiski ieguldītais un līgumos par projektu īstenošanu iekļautais finansējums sastāda 24 526 777 </w:t>
      </w:r>
      <w:r w:rsidR="00000000" w:rsidRPr="00000000" w:rsidDel="00000000">
        <w:rPr>
          <w:i w:val="1"/>
          <w:rtl w:val="0"/>
        </w:rPr>
        <w:t xml:space="preserve">euro</w:t>
      </w:r>
      <w:r w:rsidR="00000000" w:rsidRPr="00000000" w:rsidDel="00000000">
        <w:rPr>
          <w:rtl w:val="0"/>
        </w:rPr>
        <w:t xml:space="preserve">, veidojot atlikumu 473 223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Atbalsts pētniecībai – Ministru kabineta 2024. gada 9. janvāra noteikumi Nr.32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 Kopējais finansējums, par ko noslēgti līgumi 47 663 651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tīkli – Ministru kabineta 2023. gada 24. oktobra noteikumi Nr.609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 Kopējais finansējums par ko noslēgti līgumi 4 810 818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Eiropai svarīgo kopīgo interešu projekti – Ministru kabineta 2024. gada 20. februāra noteikumi Nr.116 "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 Kopējais plānotais finansējums 31 000 000 </w:t>
      </w:r>
      <w:r w:rsidR="00000000" w:rsidRPr="00000000" w:rsidDel="00000000">
        <w:rPr>
          <w:i w:val="1"/>
          <w:rtl w:val="0"/>
        </w:rPr>
        <w:t xml:space="preserve">euro</w:t>
      </w:r>
      <w:r w:rsidR="00000000" w:rsidRPr="00000000" w:rsidDel="00000000">
        <w:rPr>
          <w:rtl w:val="0"/>
        </w:rPr>
        <w:t xml:space="preserve">, taču faktiski ieguldītais un līgumos par projektu īstenošanu iekļautais finansējums sastāda 24 526 777 </w:t>
      </w:r>
      <w:r w:rsidR="00000000" w:rsidRPr="00000000" w:rsidDel="00000000">
        <w:rPr>
          <w:i w:val="1"/>
          <w:rtl w:val="0"/>
        </w:rPr>
        <w:t xml:space="preserve">euro</w:t>
      </w:r>
      <w:r w:rsidR="00000000" w:rsidRPr="00000000" w:rsidDel="00000000">
        <w:rPr>
          <w:rtl w:val="0"/>
        </w:rPr>
        <w:t xml:space="preserve">, veidojot atlikumu 6 964 834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lietderīgi izmantotu Noteikumu Nr.418 ietvaros palikušo brīvo finansējumu, MK noteikuma projekts paredz to novirzīt investīcijai, kurā tas tiktu efektīvi ieguldīts.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komitejā 2025. gada 28. augustā ir pieņemts lēmums atļaut nozaru ministrijām identificētos atlikumus izmantot savas nozares Atveseļošanas fonda projektu īstenošanai. Līdz ar to, Noteikumu Nr.418 ietvaros nesadalītais finansējums (473 223 </w:t>
      </w:r>
      <w:r w:rsidR="00000000" w:rsidRPr="00000000" w:rsidDel="00000000">
        <w:rPr>
          <w:i w:val="1"/>
          <w:rtl w:val="0"/>
        </w:rPr>
        <w:t xml:space="preserve">euro</w:t>
      </w:r>
      <w:r w:rsidR="00000000" w:rsidRPr="00000000" w:rsidDel="00000000">
        <w:rPr>
          <w:rtl w:val="0"/>
        </w:rPr>
        <w:t xml:space="preserve">) tiek novirzīts Atveseļošanas fonda 3.1.1.7.i. investīcijai "Aizdevumi nekustamā īpašuma attīstītājiem zemas īres maksas mājokļu būvniecībai" un nepieciešams veikt attiecīgus precizējumus, samazinot Noteikumu Nr.418 ietvaros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Noteikumos Nr.418 iekļautas atsauces uz Saimniecisko darbību statistiskā klasifikācija Eiropas Kopienā, 2. redakciju, kas 2024. gada 31. decembrī beigusi darbību. No 2025. gada 1. janvāra tiek piemērota Saimniecisko darbību statistiskā klasifikācija Eiropas Kopienā, 2.1. redakcija (turpmāk - NACE 2.1. redakcija), ko nepieciešams iekļaut Noteikumos Nr.418.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Ekonomikas ministrijas ierosinājuma MK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precizēt Noteikumu Nr.418 pieejamo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fondu komitejas 2025. gada 28. augusta pieņemtajam lēmumam - atļaut ministrijām identificētos atlikumus izmantot savas nozares Atveseļošanas fonda projektu īstenošanai, ja atlikumi nepārsniedz 1 milj. </w:t>
      </w:r>
      <w:r w:rsidR="00000000" w:rsidRPr="00000000" w:rsidDel="00000000">
        <w:rPr>
          <w:i w:val="1"/>
          <w:rtl w:val="0"/>
        </w:rPr>
        <w:t xml:space="preserve">euro</w:t>
      </w:r>
      <w:r w:rsidR="00000000" w:rsidRPr="00000000" w:rsidDel="00000000">
        <w:rPr>
          <w:rtl w:val="0"/>
        </w:rPr>
        <w:t xml:space="preserve"> apmēru - Noteikumu Nr.418 ietvaros identificēto brīvo finansējumu 473 223 </w:t>
      </w:r>
      <w:r w:rsidR="00000000" w:rsidRPr="00000000" w:rsidDel="00000000">
        <w:rPr>
          <w:i w:val="1"/>
          <w:rtl w:val="0"/>
        </w:rPr>
        <w:t xml:space="preserve">euro </w:t>
      </w:r>
      <w:r w:rsidR="00000000" w:rsidRPr="00000000" w:rsidDel="00000000">
        <w:rPr>
          <w:rtl w:val="0"/>
        </w:rPr>
        <w:t xml:space="preserve">apmērā iespējams novirzīt citu Ekonomikas ministrijas Atveseļošanas fonda projektu īstenošanai, bez atsevišķa Eiropas Savienības fondu komitejas lēmuma. Ņemot vērā minēto, Noteikumu Nr.418 Atveseļošanas fonda finansējuma atlikums tiek novirzīts Atveseļošanas fonda 3.1.1.7.i. investīcijai "Aizdevumi nekustamā īpašuma attīstītājiem zemas īres maksas mājokļu būvniecībai" un tiek precizēts Noteikumus Nr.418 5. punkts, nosakot, ka pieejamais finansējums ir 24 526 777 </w:t>
      </w:r>
      <w:r w:rsidR="00000000" w:rsidRPr="00000000" w:rsidDel="00000000">
        <w:rPr>
          <w:i w:val="1"/>
          <w:rtl w:val="0"/>
        </w:rPr>
        <w:t xml:space="preserve">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atlikums Noteikumu Nr.418 ietvaros ir brīvs un veidojies projektu īstenošanas rezultātā, finansējuma saņēmējiem konstatējot, ka ir sasniegti projekta ietvaros noteikti rezultāti un tālāka finansējuma ieguldīšana nebūtu efektīva.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pārskatījusi tautsaimniecības prioritātes un nolēmusi Noteikumu Nr.418 ietvaros brīvo finansējumu pārvirzīt 3.1.1.7.i. investīcijas "Aizdevumi nekustamā īpašuma attīstītājiem zemas īres maksas mājokļu būvniecībai"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lēmums pieņemts, ņemot vērā 3.1.1.7.i. investīcijas būtisko nozīmi reģionālās attīstības veicināšanā. Investīcija ir vērsta uz zemas īres maksas mājokļu būvniecību ārpus Rīgas un Pierīgas reģiona, tādējādi sekmējot sabalansētu teritoriju attīstību, mazinot reģionālās atšķirības un veicinot iedzīvotāju dzīves kvalitātes uzlabošanos visā Latvijā. 3.1.1.7.i. investīcija atbilst šī brīža valdības uzsvaram uz reģionu attīstību un ilgtspējīgu mājokļu pieejamību, kas ir būtisks priekšnosacījums ekonomiskās aktivitātes veicināšanai ārpus galvaspilsētas.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Nr.418 ietvaros ir noteikts intervences lauks “008 - Pētniecības un inovācijas pasākumi”. Kods pēc būtības nosaka, ka projekts galvenokārt vērsts uz pētniecības un inovācijas pasākumu kopumu, lai izstrādātu jaunu produktu, tehnoloģiju un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pārņemt NACE 2.1.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dažādu valstu statistika būtu salīdzināma Eiropas Savienībā (ES) pastāv divas klasifikācijas sistēmas – 2010. gada Eiropas Kontu sistēmu (EKS2010) un ES Saimniecisko darbību statistiskā klasifikācija jeb NACE, – saskaņā ar kurām iespējams klasificēt institucionālās vienības un tautsaimniecības sektorus.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NACE 2.red. klasifikācija tika izstrādāta un apstiprināta ar 2006. gada 20. decembra Eiropas Parlamenta un Padomes regulu (EK) Nr. 1893/2006, ar ko izveido NACE 2. red. saimniecisko darbību statistisko klasifikāciju, kā arī groza Padomes Regulu (EEK) Nr. 3037/90 un dažas EK regulas par īpašām statistikas jomām, kas 2024. gada 31. decembrī beidza savu darbību. No 2025. gada 1. janvāra NACE 2. red. tika atjaunināta, lai ņemtu vērā tehnoloģiju un ekonomikas attīstību un nodrošinātu tās saskaņotību ar citām ekonomiskajām un sociālajām klasifikācijām, kā rezultātā spēkā stājās NACE 2.1. redakcija, kas izklāstīta Komisijas 2022. gada 10. oktobra Deleģētajā regulā (ES) 2023/137, ar kuru groza Eiropas Parlamenta un Padomes Regulu (EK) Nr. 1893/2006, ar ko izveido NACE 2. red. saimniecisko darbību statistisko klasifikāciju. Ņemot vērā minēto, tiek precizēts Noteikumu Nr.418 110.</w:t>
      </w:r>
      <w:r w:rsidR="00000000" w:rsidRPr="00000000" w:rsidDel="00000000">
        <w:rPr>
          <w:vertAlign w:val="superscript"/>
          <w:rtl w:val="0"/>
        </w:rPr>
        <w:t xml:space="preserve">2</w:t>
      </w:r>
      <w:r w:rsidR="00000000" w:rsidRPr="00000000" w:rsidDel="00000000">
        <w:rPr>
          <w:rtl w:val="0"/>
        </w:rPr>
        <w:t xml:space="preserve">1., 110.</w:t>
      </w:r>
      <w:r w:rsidR="00000000" w:rsidRPr="00000000" w:rsidDel="00000000">
        <w:rPr>
          <w:vertAlign w:val="superscript"/>
          <w:rtl w:val="0"/>
        </w:rPr>
        <w:t xml:space="preserve">2</w:t>
      </w:r>
      <w:r w:rsidR="00000000" w:rsidRPr="00000000" w:rsidDel="00000000">
        <w:rPr>
          <w:rtl w:val="0"/>
        </w:rPr>
        <w:t xml:space="preserve">2., 110.</w:t>
      </w:r>
      <w:r w:rsidR="00000000" w:rsidRPr="00000000" w:rsidDel="00000000">
        <w:rPr>
          <w:vertAlign w:val="superscript"/>
          <w:rtl w:val="0"/>
        </w:rPr>
        <w:t xml:space="preserve">2</w:t>
      </w:r>
      <w:r w:rsidR="00000000" w:rsidRPr="00000000" w:rsidDel="00000000">
        <w:rPr>
          <w:rtl w:val="0"/>
        </w:rPr>
        <w:t xml:space="preserve">3., 110.</w:t>
      </w:r>
      <w:r w:rsidR="00000000" w:rsidRPr="00000000" w:rsidDel="00000000">
        <w:rPr>
          <w:vertAlign w:val="superscript"/>
          <w:rtl w:val="0"/>
        </w:rPr>
        <w:t xml:space="preserve">2</w:t>
      </w:r>
      <w:r w:rsidR="00000000" w:rsidRPr="00000000" w:rsidDel="00000000">
        <w:rPr>
          <w:rtl w:val="0"/>
        </w:rPr>
        <w:t xml:space="preserve">4., 110.</w:t>
      </w:r>
      <w:r w:rsidR="00000000" w:rsidRPr="00000000" w:rsidDel="00000000">
        <w:rPr>
          <w:vertAlign w:val="superscript"/>
          <w:rtl w:val="0"/>
        </w:rPr>
        <w:t xml:space="preserve">2</w:t>
      </w:r>
      <w:r w:rsidR="00000000" w:rsidRPr="00000000" w:rsidDel="00000000">
        <w:rPr>
          <w:rtl w:val="0"/>
        </w:rPr>
        <w:t xml:space="preserve">5. un 110.</w:t>
      </w:r>
      <w:r w:rsidR="00000000" w:rsidRPr="00000000" w:rsidDel="00000000">
        <w:rPr>
          <w:vertAlign w:val="superscript"/>
          <w:rtl w:val="0"/>
        </w:rPr>
        <w:t xml:space="preserve">2</w:t>
      </w:r>
      <w:r w:rsidR="00000000" w:rsidRPr="00000000" w:rsidDel="00000000">
        <w:rPr>
          <w:rtl w:val="0"/>
        </w:rPr>
        <w:t xml:space="preserve">6.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veikt tehniskus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2025. gada 23. maija vēstuli Nr.5.1-27/21/1573 par uzraudzības rādītāju turpmāko neatskaitīšanos Eiropas Komisijai, tiek svītrots Noteikumu Nr.418 6.2.apakšpunkts. Centrālā finanšu un līgumu aģnetūra ir informējusi finansējuma saņēmējus par izmaiņām uzraudzības rādītāju uzskaitē, veicot attiecīgus grozījumus līgumos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atbilstība grūtībās nonākuša komersanta statusam jāvērtē uzņēmuma grupas līmenī, normas skaidrībai tiek precizēts Noteikumu Nr. 418 121. punkts aiz vārda "komersanta" iekļaujot iekavas "(vērtējot grupas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2024. gada 1. jūlijā stājušies spēkā grozījumi Ministru kabineta 2018. gada 21. novembra noteikumos Nr. 715 "De minimis atbalsta uzskaites un piešķiršanas kārtība", tiek precizēts noteikumu Nr.418 98. punkts, svītrojot vārdus "un de minimis atbalsta uzskaites veidlapu paraugiem".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30. septembrī stājusies spēkā Eiropas Parlamenta un Padomes 2024. gada 23. septembra Regula (ES, Euratom) 2024/2509 par finanšu noteikumiem, ko piemēro Savienības vispārējam budžetam (pārstrādāta redakcija) (turpmāk - Regula 2024/2509), un saskaņā ar Regulas 2024/2509 279. pantu tā atceļ iepriekšējo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ir tieši piemērojas tiesību akts un to, ka saskaņā ar Regulas 2024/2509 279. pantu atsauces uz atcelto Regulu 2018/1046 uzskata par atsaucēm uz Regulu 2024/2509, un tās lasa saskaņā ar atbilstības tabulu Regulas 2024/2509 II pielikumā, grozījumi Noteikumos Nr.418 netiek veikti.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neietekmēs Noteikumu Nr.418 ietvaros atlasītos finansējuma saņēmējus un Atveseļošanas fonda rādītāja Nr.158 izpildi, atbilstoši Atveseļošanas fonda Darbības kārtībai, par kuru vienojušās Eiropas Komisija un Latvija.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2 318 435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-473 223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2 318 435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-473 223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2 318 435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-473 223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2 318 435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-473 223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Nr.418 ietvaros kopējais pieejamais Atveseļošanas fonda finansējums ir 25 000 000 </w:t>
            </w:r>
            <w:r w:rsidR="00000000" w:rsidRPr="00000000" w:rsidDel="00000000">
              <w:rPr>
                <w:sz w:val="24"/>
                <w:i w:val="1"/>
                <w:rtl w:val="0"/>
              </w:rPr>
              <w:t xml:space="preserve">euro</w:t>
            </w:r>
            <w:r w:rsidR="00000000" w:rsidRPr="00000000" w:rsidDel="00000000">
              <w:rPr>
                <w:sz w:val="24"/>
                <w:rtl w:val="0"/>
              </w:rPr>
              <w:t xml:space="preserve">. Finansējuma saņēmējiem īstenojot projektus ir izveidojies Atveseļošanas fonda finansējuma atlikums 473 223 </w:t>
            </w:r>
            <w:r w:rsidR="00000000" w:rsidRPr="00000000" w:rsidDel="00000000">
              <w:rPr>
                <w:sz w:val="24"/>
                <w:i w:val="1"/>
                <w:rtl w:val="0"/>
              </w:rPr>
              <w:t xml:space="preserve">euro</w:t>
            </w:r>
            <w:r w:rsidR="00000000" w:rsidRPr="00000000" w:rsidDel="00000000">
              <w:rPr>
                <w:sz w:val="24"/>
                <w:rtl w:val="0"/>
              </w:rPr>
              <w:t xml:space="preserve">. Lai nodrošinātu efektīvu resursu izmantošanu, nezaudētu Latvijai piešķirto Atveseļošanas fonda finansējumu un veicinātu plānoto pasākumu īstenošanu, nesadalītais finansējums (473 223 euro) tiek novirzīt citu atbalsta programmu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5.1.1.2.i.investīcijas 1. kārtas īstenošanai ir ieplānots likumā “Par valsts budžetu 2025. gadam un budžeta ietvaru 2025., 2026. un 2027. gadam” Finanšu ministrijas budžeta apakšprogrammā 74.07.00 “Atveseļošanas un noturības mehānisma (ANM) finansējums projektu un pasākumu īstenotājiem”.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473 223 </w:t>
            </w:r>
            <w:r w:rsidR="00000000" w:rsidRPr="00000000" w:rsidDel="00000000">
              <w:rPr>
                <w:sz w:val="24"/>
                <w:i w:val="1"/>
                <w:rtl w:val="0"/>
              </w:rPr>
              <w:t xml:space="preserve">euro </w:t>
            </w:r>
            <w:r w:rsidR="00000000" w:rsidRPr="00000000" w:rsidDel="00000000">
              <w:rPr>
                <w:sz w:val="24"/>
                <w:rtl w:val="0"/>
              </w:rPr>
              <w:t xml:space="preserve">apmērā 2025.gadā no 5.1.1.2.i.investīcijas 1. kārtas tiek novirzīts Atveseļošanas fonda 3.1.1.7.i. investīcijai “Aizdevumi nekustamā īpašuma attīstītājiem zemas īres maksas mājokļu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finansējums 5.1.1.2.i. investīcijas 1. kārtas īstenošanai 2026.gadam ir 2 318 435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32023R0137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10. oktobra Deleģētajai regulai (ES) 2023/137, ar kuru groza Eiropas Parlamenta un Padomes Regulu (EK) Nr. 1893/2006, ar ko izveido NACE 2. red. saimniecisko darbību statistisko klasifikāciju (turpmāk - Regula 2023/137)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10. oktobra Deleģētajai regulai (ES) 2023/137, ar kuru groza Eiropas Parlamenta un Padomes Regulu (EK) Nr. 1893/2006, ar ko izveido NACE 2. red. saimniecisko darbību statistisko klasifikāciju (turpmāk - Regula 2023/137)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2023/137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110.</w:t>
            </w:r>
            <w:r w:rsidR="00000000" w:rsidRPr="00000000" w:rsidDel="00000000">
              <w:rPr>
                <w:sz w:val="24"/>
                <w:vertAlign w:val="superscript"/>
                <w:rtl w:val="0"/>
              </w:rPr>
              <w:t xml:space="preserve">2</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2023/137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110.</w:t>
            </w:r>
            <w:r w:rsidR="00000000" w:rsidRPr="00000000" w:rsidDel="00000000">
              <w:rPr>
                <w:sz w:val="24"/>
                <w:vertAlign w:val="superscript"/>
                <w:rtl w:val="0"/>
              </w:rPr>
              <w:t xml:space="preserve">2</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2023/137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110.</w:t>
            </w:r>
            <w:r w:rsidR="00000000" w:rsidRPr="00000000" w:rsidDel="00000000">
              <w:rPr>
                <w:sz w:val="24"/>
                <w:vertAlign w:val="superscript"/>
                <w:rtl w:val="0"/>
              </w:rPr>
              <w:t xml:space="preserve">2</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2023/137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110.</w:t>
            </w:r>
            <w:r w:rsidR="00000000" w:rsidRPr="00000000" w:rsidDel="00000000">
              <w:rPr>
                <w:sz w:val="24"/>
                <w:vertAlign w:val="superscript"/>
                <w:rtl w:val="0"/>
              </w:rPr>
              <w:t xml:space="preserve">2</w:t>
            </w:r>
            <w:r w:rsidR="00000000" w:rsidRPr="00000000" w:rsidDel="00000000">
              <w:rPr>
                <w:sz w:val="24"/>
                <w:rtl w:val="0"/>
              </w:rPr>
              <w:t xml:space="preserve">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2023/137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110.</w:t>
            </w:r>
            <w:r w:rsidR="00000000" w:rsidRPr="00000000" w:rsidDel="00000000">
              <w:rPr>
                <w:sz w:val="24"/>
                <w:vertAlign w:val="superscript"/>
                <w:rtl w:val="0"/>
              </w:rPr>
              <w:t xml:space="preserve">2</w:t>
            </w:r>
            <w:r w:rsidR="00000000" w:rsidRPr="00000000" w:rsidDel="00000000">
              <w:rPr>
                <w:sz w:val="24"/>
                <w:rtl w:val="0"/>
              </w:rPr>
              <w:t xml:space="preserve">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2023/137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110.</w:t>
            </w:r>
            <w:r w:rsidR="00000000" w:rsidRPr="00000000" w:rsidDel="00000000">
              <w:rPr>
                <w:sz w:val="24"/>
                <w:vertAlign w:val="superscript"/>
                <w:rtl w:val="0"/>
              </w:rPr>
              <w:t xml:space="preserve">2</w:t>
            </w:r>
            <w:r w:rsidR="00000000" w:rsidRPr="00000000" w:rsidDel="00000000">
              <w:rPr>
                <w:sz w:val="24"/>
                <w:rtl w:val="0"/>
              </w:rPr>
              <w:t xml:space="preserve">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Tiesību aktu portālā no 03.12.2025 līdz 17.12.2025.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netika saņemti komentāri par MK noteikumu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25-TA-2401</w:t>
    </w:r>
    <w:r>
      <w:br/>
    </w:r>
    <w:r w:rsidR="00000000" w:rsidRPr="00000000" w:rsidDel="00000000">
      <w:rPr>
        <w:rtl w:val="0"/>
      </w:rPr>
      <w:t xml:space="preserve">Izdrukāts 29.07.2026. 23.17 - 2.0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25-TA-2401</w:t>
    </w:r>
    <w:r>
      <w:br/>
    </w:r>
    <w:r w:rsidR="00000000" w:rsidRPr="00000000" w:rsidDel="00000000">
      <w:rPr>
        <w:rtl w:val="0"/>
      </w:rPr>
      <w:t xml:space="preserve">Izdrukāts 29.07.2026. 23.17 - 2.0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anotācija_(ex_ante)_25-TA-2401.docx</dc:title>
</cp:coreProperties>
</file>

<file path=docProps/custom.xml><?xml version="1.0" encoding="utf-8"?>
<Properties xmlns="http://schemas.openxmlformats.org/officeDocument/2006/custom-properties" xmlns:vt="http://schemas.openxmlformats.org/officeDocument/2006/docPropsVTypes"/>
</file>