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Brīvības ielā 96A, Brīvības ielā 96,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valsts nekustamo īpašumu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Brīvības ielā 96A; Brīvības ielā 96, Rīgā,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Brīvības ielā 96A; Brīvības ielā 96, Rīgā,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nekustamo īpašumu (nekustamā īpašuma kadastra Nr. 0100 028 0049) – Brīvības ielā 96A; Brīvības ielā 96, Rīgā, kas ierakstīts zemesgrāmatā Rīgas pilsētas zemesgrāmatas nodalījumā Nr. 6156 Latvijas valstij Finanšu ministrijas personā, lēmuma datums 19.12.2005.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no Nekustamā īpašuma valsts kadastra informācijas sistēmas (turpmāk – NĪVKIS), nekustamā īpašuma Brīvības ielā 96A; Brīvības ielā 96, Rīgā (turpmāk- valsts Nekustamais īpašums)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zemes vienība</w:t>
      </w:r>
      <w:r w:rsidR="00000000" w:rsidRPr="00000000" w:rsidDel="00000000">
        <w:rPr>
          <w:rtl w:val="0"/>
        </w:rPr>
        <w:t xml:space="preserve"> (zemes vienības kadastra apzīmējums 0100 028 0049) </w:t>
      </w:r>
      <w:r w:rsidR="00000000" w:rsidRPr="00000000" w:rsidDel="00000000">
        <w:rPr>
          <w:b w:val="1"/>
          <w:rtl w:val="0"/>
        </w:rPr>
        <w:t xml:space="preserve">ar adresi Brīvības iela 96, Rīgā, </w:t>
      </w:r>
      <w:r w:rsidR="00000000" w:rsidRPr="00000000" w:rsidDel="00000000">
        <w:rPr>
          <w:rtl w:val="0"/>
        </w:rPr>
        <w:t xml:space="preserve"> 0,3371 ha. Zemes vienībai NĪVKIS noteikts lietošanas mērķis: “Komercdarbības objektu apbūve”, platība 0.3371 ha; zemes lietošanas veids: “zeme zem ēkām”, platība 0.3371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 vienībai NĪVKIS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platība 0.00 bez mērvienības;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platība 0.0078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0.00 bez mērvienības;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piebraucamais ceļš, platība 0.0129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TP 186 aizsargjosla, platība 0.0016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un pilsētbūvniecības pieminekļa teritorija un objekti, platība 0.3371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būve</w:t>
      </w:r>
      <w:r w:rsidR="00000000" w:rsidRPr="00000000" w:rsidDel="00000000">
        <w:rPr>
          <w:rtl w:val="0"/>
        </w:rPr>
        <w:t xml:space="preserve"> (būves kadastra apzīmējums 0100 028 0049 001)  -</w:t>
      </w:r>
      <w:r w:rsidR="00000000" w:rsidRPr="00000000" w:rsidDel="00000000">
        <w:rPr>
          <w:b w:val="1"/>
          <w:rtl w:val="0"/>
        </w:rPr>
        <w:t xml:space="preserve">ar adresi Brīvības ielā 96, Rīgā,  “administratīvā ēka”</w:t>
      </w:r>
      <w:r w:rsidR="00000000" w:rsidRPr="00000000" w:rsidDel="00000000">
        <w:rPr>
          <w:rtl w:val="0"/>
        </w:rPr>
        <w:t xml:space="preserve"> ar kopējo platību 792 m2 ; būves galvenais lietošanas veids ir 1261 – “ēkas plašizklaides pasākumiem”, būves tips 12610102 – “teātri, kinoteātri, koncertzāles, cirka ēkas, mūzikas, deju un citu plašizklaides pasākumu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būve</w:t>
      </w:r>
      <w:r w:rsidR="00000000" w:rsidRPr="00000000" w:rsidDel="00000000">
        <w:rPr>
          <w:rtl w:val="0"/>
        </w:rPr>
        <w:t xml:space="preserve"> (būves kadastra apzīmējums 0100 028 0049 002) – </w:t>
      </w:r>
      <w:r w:rsidR="00000000" w:rsidRPr="00000000" w:rsidDel="00000000">
        <w:rPr>
          <w:b w:val="1"/>
          <w:rtl w:val="0"/>
        </w:rPr>
        <w:t xml:space="preserve">ar adresi Brīvības iela 96A, Rīgā, “plašizklaides pasākumu ēka” </w:t>
      </w:r>
      <w:r w:rsidR="00000000" w:rsidRPr="00000000" w:rsidDel="00000000">
        <w:rPr>
          <w:rtl w:val="0"/>
        </w:rPr>
        <w:t xml:space="preserve">ar kopējo platību ir 8047.6 m</w:t>
      </w:r>
      <w:r w:rsidR="00000000" w:rsidRPr="00000000" w:rsidDel="00000000">
        <w:rPr>
          <w:vertAlign w:val="superscript"/>
          <w:rtl w:val="0"/>
        </w:rPr>
        <w:t xml:space="preserve">2</w:t>
      </w:r>
      <w:r w:rsidR="00000000" w:rsidRPr="00000000" w:rsidDel="00000000">
        <w:rPr>
          <w:rtl w:val="0"/>
        </w:rPr>
        <w:t xml:space="preserve">; būves galvenais lietošanas veids ir 1261- “ēkas plašizklaides pasākumiem”, būves tips 12610102 -  “teātri, kinoteātri, koncertzāles, cirka ēkas, mūzikas, deju un citu plašizklaides pasākumu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inženierbūve</w:t>
      </w:r>
      <w:r w:rsidR="00000000" w:rsidRPr="00000000" w:rsidDel="00000000">
        <w:rPr>
          <w:rtl w:val="0"/>
        </w:rPr>
        <w:t xml:space="preserve"> (būves kadastra apzīmējums 0100 028 0049 006) – </w:t>
      </w:r>
      <w:r w:rsidR="00000000" w:rsidRPr="00000000" w:rsidDel="00000000">
        <w:rPr>
          <w:b w:val="1"/>
          <w:rtl w:val="0"/>
        </w:rPr>
        <w:t xml:space="preserve">bez adreses, “bruģēts laukums”</w:t>
      </w:r>
      <w:r w:rsidR="00000000" w:rsidRPr="00000000" w:rsidDel="00000000">
        <w:rPr>
          <w:rtl w:val="0"/>
        </w:rPr>
        <w:t xml:space="preserve"> ar kopējo platību 429.2 m</w:t>
      </w:r>
      <w:r w:rsidR="00000000" w:rsidRPr="00000000" w:rsidDel="00000000">
        <w:rPr>
          <w:vertAlign w:val="superscript"/>
          <w:rtl w:val="0"/>
        </w:rPr>
        <w:t xml:space="preserve">2</w:t>
      </w:r>
      <w:r w:rsidR="00000000" w:rsidRPr="00000000" w:rsidDel="00000000">
        <w:rPr>
          <w:rtl w:val="0"/>
        </w:rPr>
        <w:t xml:space="preserve">; būves galvenais lietošanas vieds ir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Inženierbūve ir reģistrēta nekustamā īpašuma Brīvības ielā 96, Rīgā, sastāvā,  pamatojoties uz inženierbūves datu deklarāciju. Saskaņā ar NĪVKIS datiem minētās  inženierbūves tiesiskais valdītājs ir Finanšu ministrija un tā atrodas Finanšu ministrijas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853.pantam, visas tiesiskās attiecības, kas zīmējas uz galveno lietu, pašas par sevi attiecas arī uz tās blakus lietām, līdz ar to izstrādātais projekts paredz kopā ar valsts Nekustamo īpašumu pārdot arī NĪVKIS nekustamā īpašuma sastāvā reģistrēto Finanšu ministrijas tiesiskajā valdījumā esošo inženierbūvi – “bruģēto laukumu”, kas ir nesaraujami saistīta ar valsts Nekustamo īpašumu un tiks atsavināta kopā ar galveno lietu. Minētā informācija tiks iekļauta arī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26.03.2020. ēkas (būves) tehniskās apsekošanas atzinumā Nr. 3-4.5.4/80783 par plašizklaides pasākumu ēku (būves kadastra apzīmējums 0100 028 0049 002) norādītajam, kopējais ēkas stāvoklis ir apmierinošs, kopējais vizuālais nolietojums sastāda 35,2 %. Apsekošanas laikā konstatētais galveno nesošo konstrukciju tehniskais stāvoklis ir apmierinošs: pamati 35 %, sienas 35%, pārsegumi 34%, jumta nesošās konstrukcijas 32%, jumta segums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Apsekotā ēka ir II māju kapitalitātes grupas ar vidējo kalpošanas ilgumu 125 gadi. Pirmreizējais ekspluatācijā pieņemšanas gads saskaņā ar inventarizācijas lietu ir 2008. Dažādos laika posmos ēka ir piedzīvojusi vairākas pārbūves, atjaunošanas un remontus. 1996.gadā tas tika pārveidots par nakts klubu ar nosaukumu ,,LaRocca”. Tad ēkas dienvidaustrumu galā tika izbūvēti vēl divi stāvi. Bet jaunizbūvētajam apjomam nav pabeigta iekšējā un daļēji ārējā apdare, kā arī nesen veiktā fasādes apdare ir bojāta. Pašlaik ēka tiek ekspluatēta tikai daļēji. Galveno konstruktīvo elementu-pamatu, nesošo sienu, pārsegumu stāvoklis vērtējams kā apmierinošs un atbilstošs Būvniecības likuma 9.panta 1.apakšpunktam “Mehāniskā stiprība un stabilitāte” prasībām. Ēkai nav siltinātas ārsienas un tās visticamāk, neatbilst noteikumiem par Latvijas būvnormatīvu LBN 002-15 ,,Ēku norobežojošo konstrukciju siltumtehnika”. Vides pieejamības prasības nav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19.04.2019. ēkas (būves) tehniskās apsekošanas atzinumā par administratīvo ēku (būves kadastra apzīmējums 0100 028 0049 001 ) norādītajam, kopējais vizuālais nolietojums sastāda 44,20 %. Apsekošanas laikā konstatētais galveno nesošo konstrukciju tehniskais stāvoklis ir apmierinošs: pamati 45 %, sienas 40%, pārsegumi 45%, jumta nesošās konstrukcijas 60%, jumta segums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Apsekotā ēka ir pieskaitāma pie IV māju kapitalitātes grupas, ar vidējo kalpošanas ilgumu 70 gadi. Ēka ekspluatācijas uzsākšanas gads ir 1904. Apsekojot ēkas tehnisko stāvokli var secināt, ka ēka ir daļēji apmierinošā stāvoklī, ēkai ir ieteicams veikt atjaunošanas pasākumus, kas pagarinātu ēkas ekspluatācijas ilgumu un uzlabotu ekspluatācijas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Nekustamā īpašuma kadastrālā vērtība uz 01.01.2024. noteikta 4 085 297  </w:t>
      </w:r>
      <w:r w:rsidR="00000000" w:rsidRPr="00000000" w:rsidDel="00000000">
        <w:rPr>
          <w:i w:val="1"/>
          <w:rtl w:val="0"/>
        </w:rPr>
        <w:t xml:space="preserve">euro</w:t>
      </w:r>
      <w:r w:rsidR="00000000" w:rsidRPr="00000000" w:rsidDel="00000000">
        <w:rPr>
          <w:rtl w:val="0"/>
        </w:rPr>
        <w:t xml:space="preserve">, ko veido zemes vienības kadastrālā vērtība 697 888 </w:t>
      </w:r>
      <w:r w:rsidR="00000000" w:rsidRPr="00000000" w:rsidDel="00000000">
        <w:rPr>
          <w:i w:val="1"/>
          <w:rtl w:val="0"/>
        </w:rPr>
        <w:t xml:space="preserve">euro </w:t>
      </w:r>
      <w:r w:rsidR="00000000" w:rsidRPr="00000000" w:rsidDel="00000000">
        <w:rPr>
          <w:rtl w:val="0"/>
        </w:rPr>
        <w:t xml:space="preserve">un būvju kadastrālā vērtība 3 387 409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Pilsētas attīstības departaments ar 04.09.2023. vēstuli Nr. DA-23-22915-nd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atrodas valsts nozīmes pilsētbūvniecības pieminekļa „Rīgas pilsētas vēsturiskais centrs” (valsts aizsardzības Nr. 7442) robežās un UNESCO Pasaules mantojuma vietas Nr. 852 „Rīgas vēsturiskais centrs” teritorijā. Rīgas vēsturiskā centra un tā aizsardzības zonas saglabāšanas, aizsardzības, izmantošanas, kultūrvēsturiskās vides pārveidošanas, kā arī attīstības projektu īstenošanas kārtību un attiecīgās kultūrvēsturiskās vides vērtībai atbilstošās prasības nosaka Rīgas vēsturiskā centra saglabāšanas un aizsardzības likums un Ministru kabineta 08.03.2004. noteikumi Nr.127 „Rīgas vēsturiskā centra saglabāšanas un aizsardzības noteikumi”. 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  Saskaņā ar Teritorijas plānojuma grafisko daļu un Saistošajiem noteikumiem Zemes vienība atrodas centru apbūves teritorijā, kur atļautā izmantošana noteikta Saistošo noteikumu 2.1., 2.2., 2.3. un 5.1 apakšnodaļā. Zemes vienība atrodas centru apbūves teritorijas daļā, kur nav noteikts dzīvojamās funkcijas īpatsvars (apzīmējums Teritorijas plānojuma grafiskās daļas plānā „RVC detalizētā teritorijas plānotā (atļautā) izmantošana”– JC). Izņēmuma un papildu noteikumi saskaņā ar Saistošo noteikumu 456.–460.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Teritorijas plānojuma grafiskās daļas plānu “RVC un tā aizsardzības zonas apbūves veidošanas pamatnosacījumi” Zemes vienība atrodas perimetrālās apbūves teritorijā. Pieļaujamais apbūves augstums nosakāms atbilstoši Saistošo noteikumu 3.4. apakšnodaļas un 6. 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plānojuma vispārīgās prasības kultūras mantojuma aizsardzībai noteiktas Saistošo noteikumu 6.1. apakšnodaļā, bet papildu prasības apbūves raksturīgo iezīmju aizsardzībai un attīstībai – 6.3.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atrodas kultūrvēsturiski nozīmīgā, autentiskā pilsētvides teritorijā, kurā papildus ievēro Saistošo noteikumu 6.2. apakšnodaļas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izmantošanā jāievēro visu veidu aizsargjoslas un citi Zemes vienības izmantošanas aprobežojumi atbilstoši Teritorijas plānojuma grafiskās daļas plānam „Galvenās aizsargjoslas un citi zemesgabalu izmantošanas aprobežojumi” un Saistošo noteikumu 2.17. apakšnodaļas prasībām, kā arī Rīgas teritorijas plānojuma (apstiprināts ar Rīgas domes 15.12.2021. saistošajiem noteikumiem Nr. 103 „Rīgas teritorijas izmantošanas un apbūves saistošie noteikumi”, turpmāk – Saistošie noteikumi Nr. 103) grafiskās daļas kartei “Galvenās aizsargjoslas un citi teritorijas izmantošanas aprobežojumi” un Saistošo noteikumu Nr. 103, 2.15.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jānodrošina piekļūšana un vides pieejamība atbilstoši Saistošo noteikumu 2.6. apakšnodaļas un 3.16.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piekļūšana no Brīvības ielas, kas noteikta ar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kultūras pieminekļu aizsardzību” 8.pantā noteikto, ka Nacionālajai kultūras mantojuma pārvaldei jāpaziņo par nodomu atsavināt valsts un reģiona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vai reģiona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Nacionālā kultūras mantojuma pārvalde ar 22.03.2019. vēstuli Nr.04-07.1/1364 ir informējusi, ka nekustamā īpašuma sastāvā esošai būvei (būves kadastra apzīmējums 0100 028 0049 002) “plašizklaides pasākumu ēka” Nacionālajai kultūras mantojuma pārvalde ir noteikusi kultūrvēsturiskās vērtības līmeni: “Kultūrvēsturiski vērtība ēka”, ņemot vērā identificēto kultūrvēsturisko vērtību, t.i.:  ēka celta 1910.gadā pēc S.Nudelmana projekta kā teātris- kazino; vēlākos gados izveidots Operetes teātris; ēka vairākkārt pārbūvēta. Ēkas kultūrvēsturisko vērtību veidojošie elementi ir ēkas apjoms  un arhitektūra.  Nacionālā kultūras mantojuma pārvalde vēstulē informē, ka ēkai noteiktais kultūrvēsturiskās vērtības līmenis nav pamats tās iekļaušanai Valsts aizsargājamo kultūras pieminekļu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noteiktie apgrūtinājumi tiešā veidā nerada papildu ietekmi uz valsts nekustamā īpašuma iespējamo izmantošanu tā atsavināšanas gadījumā, vienlaikus nākamajam nekustamā īpašuma ieguvējam jāņem vērā Aizsargjoslu likumā noteiktā kārtība atbilstoši aizsargjoslu veidam, kā arī  tiesību akti, kas regulē  servitūta izmantošanas kārtību, kā arī augstākminētā kultūras pieminekļa aizsardzību, kura teritorijā nekustamais īpašums atrodas.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par valsts Nekustamā īpašuma saistību, nekustamā īpašuma sastāvā esošās būves (būves kadastra apzīmējums 0100 028 0049 002) daļa atrodas uz fiziskai personai piederošas zemes vienības (zemes vienības kadastra apzīmējums 0100 028 0048), kas ietilpst vienota (zeme un būves) nekustamā īpašuma (kadastra Nr. 0100 028 0048) sastāvā, Brīvības iela 98, Rīgā, un juridiskai personai (SIA “MOBUS”) piederošas zemes vienības (zemes vienības kadastra apzīmējums 0100 028 0138), kas ietilpst vienota (zeme un būves) nekustamā īpašuma (kadastra Nr. 0100 028 0138) sastāvā, Tērbatas ielā 75, Rīgā. Vienlaikus no NĪVKIS datiem izriet, ka uz valsts zemes vienības daļēji atrodas juridiskai personai (SIA “MOBUS”) piederošas būves (būves kadastra apzīmējums 0100 028 0048 007) daļa, kas ietilpst  vienotā nekustamā īpašuma (kadastra Nr. 0100 028 0138) Tērbatas ielā 75, Rīgā, sastāvā un fiziskai personai piederošas būves (būves kadastra apzīmējums 0100 028 0048 001) daļa, kas ietilpst vienotā nekustamā īpašuma (kadastra Nr. 0100 028 0048) Brīvības iela 98,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4.panta ceturtā daļa, kas noteic personu loku, kas atsevišķos gadījumos var ierosināt publiskas personas nekustamā īpašuma atsavināšanu un izmantot pirmpirkuma tiesības saskaņā ar Atsavināšanas likumu, neparedz tādu gadījumu, kad atsavināšanu varētu ierosināt zemes īpašnieks vai būves īpašnieks uz visu nekustamo īpašumu (ēkām un zemi), bet gan tikai „zemes īpašnieks vai visi kopīpašnieki, ja viņi vēlas nopirkt zemesgrāmatā ierakstītu ēku (būvi), kas atrodas uz īpašumā esošās zemes, vai zemes starpgabalu, kas piegul viņi zemei” vai “zemesgrāmatā ierakstītas ēkas (būves) īpašnieks vai visi kopīpašnieki, ja viņi vēlas nopirkt zemesgabalu, uz kura atrodas ēka (būve), vai zemesgabalu, uz kura atrodas ēka (būve), un zemes starpgabalu, kas piegul šai zemei” , vai “zemesgrāmatā ierakstītas ēkas (būves) īpašnieks vai visi kopīpašnieki, ja viņi vēlas nopirkt publiskai personai piederošu nekustamo īpašumu, kas sastāv no zemesgabala un nedzīvojamās ēkas (būves), un uz šā zemesgabala atrodas arī viņiem piederoša ēka (būve)” (4.panta ceturtās daļas 1.apakšpunkts; 4. panta ceturtās daļas 3.apakšpunkts, 4.panta ceturtās daļas 9.apašpunkts).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 kā attiecīgo būvju daļas, kas atrodas uz valsts Nekustamā īpašuma, ietilpst citu nekustamo īpašumu (zeme/būve) sastāvā, nav pamata konstatēt šo būvju daļu īpašnieku pirmpirkuma tiesības uz valsts  Nekustamo īpašumu saskaņā ar  Atsavināšanas likumu. Tāpat minētais attiecināms uz zemes vienību īpašniekiem, uz kuru zemes atrodas vienota valsts Nekustamā īpašuma sastāvā esošās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valsts Nekustamā īpašuma ieguvējam pilnīgu informāciju par pārdodamo objektu, VNĪ izsoles noteikumos iekļaus informāciju par valsts Nekustamā īpašuma sastāvā esošās būves (būves kadastra apzīmējums 0100 028 0049 002) saistību ar nekustamo īpašumu ( nekustamā īpašuma kadastra Nr. 0100 028 0048) – Brīvības iela 98, Rīgā, un nekustamo īpašumu (nekustamā īpašuma kadastra Nr.0100 028 0138) - Tērbatas ielā 75, Rīgā,  un attiecīgi, ka minēto nekustamo īpašumu sastāvā esošās būves daļēji atrodas uz valsts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norādīts, ka konkrētajā gadījumā starp zemes īpašniekiem un būvju īpašniekiem faktiski pastāv likumiskās zemes lietošanas tiesiskās attiecības, kas izriet no likuma – attiecības pastāv neatkarīgi no zemes īpašnieka un ēku (būvju) īpašnieka gribas – tām ir piespiedu raksturs. Tādējādi starp nekustamā īpašuma Brīvības ielā 96A; Brīvības ielā 96, Rīgā, īpašnieku no vienas puses un nekustamo īpašumu Brīvības iela 98, Rīgā, un Tērbatas ielā 75, Rīgā, īpašniekiem (zemes vienību un būvju īpašnieki) pastāvēs likumiskās zemes lietošanas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sastāvā esošās administratīvās ēkas telpas iznomātas fiziskām un juridiskām personām un starp VNĪ un privātpersonām noslēgti šādi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nomas līgums Nr. 3/1-2-18-36/1006, ar 23.11.2022 līguma grozījumiem Nr. 4/3-2/9982; ar 17.10.2023. līguma grozījumiem Nr. 4/3-2/8400, kas noslēgts ar fizisku personu, spēkā līdz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telpu nomas līgums Nr. IEN/2019/385, ar 30.04.2022 līguma grozījumiem Nr. IEN/2019/385-2, kas noslēgts ar fizisku personu, spēkā līdz 01.02.2025;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telpu nomas līgums Nr. IEN/2020/1869, ar 21.06.2023. līguma grozījumiem Nr. IEN/2020/1869-2, kas noslēgts ar sabiedrību ar ierobežotu atbildību “SK HALAL”, spēkā līdz 17.08.2026;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izkārtnes nomas līgums Nr. IEN/2020/2050, ar 26.06.2023. līguma grozījumiem Nr.  IEN/2020/2050-1, kas noslēgts ar sabiedrību ar ierobežotu atbildību “SK HALAL”, spēkā līdz 17.08.2026;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telpu nomas līgums Nr. IEN/2022/154, ar 21.04.2022. līguma grozījumiem Nr. IEN/2022/154-1, kas noslēgts ar sabiedrību ar ierobežotu atbildību “FP LV”, spēkā līdz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reklāmas/ izkārtnes nomas līgums Nr. IEN/2022/654, kas noslēgts ar sabiedrību ar ierobežotu atbildību “FP LV”, spēkā līdz 30.03.2025;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telpu un jumta daļas nomas līgums Nr. IEN/2022/1787, kas noslēgts ar sabiedrību ar ierobežotu atbildību “Latvijas Mobilais Telefons”, spēkā līdz 25.08.2027;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telpu nomas līgums Nr. IEN/2022/566, kas noslēgts ar sabiedrību ar ierobežotu atbildību “PERFEKTS C”, spēkā līdz 15.03.2028;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telpu nomas līgums Nr. IEN/2023/1037, kas noslēgts ar sabiedrību ar ierobežotu atbildību “AZK”, spēkā līdz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telpu nomas līgums Nr. IEN/2023/234, kas noslēgts ar sabiedrību ar ierobežotu atbildību “RIVENGO”, spēkā līdz 08.03.2026.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noslēgtie nomas līgumi nav ierakstīti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līgumi jaunajam ieguvējam nebūs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Noslēgtie telpu nomas līgumi tiks turpināti līdz attiecīgā līgumā noteiktajam termiņam un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nomnieki saskaņā ar līgumos paredzētajiem nosacījumiem, tiks brīdināti, ka valsts nekustamais īpašums tiek atsavināts un nomas attiecības ar VNĪ netiks turpinātas. Atbilstoši noslēgto nomas līgumu nosacījumiem, nomniekiem nav atlīdzināmu ieguldījumu valsts nekustamajā īpašumā, līdz ar to esošie nomnieki un jaunais valsts nekustamā īpašuma ieguvējs varēs izlemt par nomas attiecību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 publiskām personām. VNĪ 2022.gada jūnijā (vēstules Nr.4/2-7/5130) un atkārtoti 2023.gada jūnijā (vēstules Nr.4/2-7/4763) veica aptauju par telpu nepieciešamību un piemērotību publisko personu iestāžu darbības nodrošināšanai, taču par tā Nekustamā īpašuma izmantošanu netika izrādīta interese.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nākamajam valsts Nekustamā īpašuma ieguvējam pilnīgu informāciju par pārdodamo nekustamo īpašumu, izsoles noteikumiem tiks pievienoti VNĪ rīcībā esošie ēkas (būves) tehniskās apsekošanas atzinumi, Rīgas domes Pilsētas attīstības departamenta sniegtā informācija, kā arī informācija par spēkā esošajiem nomas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ka arī to, nav zināmas valsts vajadzības, kuru nodrošināšanai valsts Nekustamo īpašumu būtu lietderīgi saglabāt valsts īpašumā, ar VNĪ Īpašumu izvērtēšanas komisijas lēmumu nolemts ierosināt rīkojuma projektā iekļautā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projekta minētā valsts Nekustamā īpašuma ieguvējam jāatbilst likuma “Par zemes reformu Latvijas Republikas pilsētās” 20. panta nosacījumiem.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2024.gada 31.decembrim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valsts akciju sabiedrība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24-TA-330</w:t>
    </w:r>
    <w:r>
      <w:br/>
    </w:r>
    <w:r w:rsidR="00000000" w:rsidRPr="00000000" w:rsidDel="00000000">
      <w:rPr>
        <w:rtl w:val="0"/>
      </w:rPr>
      <w:t xml:space="preserve">Izdrukāts 29.07.2026. 21.55 - 2.0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24-TA-330</w:t>
    </w:r>
    <w:r>
      <w:br/>
    </w:r>
    <w:r w:rsidR="00000000" w:rsidRPr="00000000" w:rsidDel="00000000">
      <w:rPr>
        <w:rtl w:val="0"/>
      </w:rPr>
      <w:t xml:space="preserve">Izdrukāts 29.07.2026. 21.55 - 2.0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anotācija_(ex_ante)_24-TA-330.docx</dc:title>
</cp:coreProperties>
</file>

<file path=docProps/custom.xml><?xml version="1.0" encoding="utf-8"?>
<Properties xmlns="http://schemas.openxmlformats.org/officeDocument/2006/custom-properties" xmlns:vt="http://schemas.openxmlformats.org/officeDocument/2006/docPropsVTypes"/>
</file>