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Ministru kabineta 2024. gada 4.jūnija noteikumiem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kas nosaka kārtību, kādā īsteno Eiropas Savienības kohēzijas politikas programmas 2021.–2027. gadam 1.3.1. specifiskā atbalsta mērķa "Izmantot digitalizācijas priekšrocības iedzīvotājiem, uzņēmumiem, pētniecības organizācijām un publiskajām iestādēm" 1.3.1.1. pasākumu "IKT risinājumu un pakalpojumu attīstība un iespēju radīšana privātajam sektoram" (turpmāk - MK noteikumi Nr.338).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“Informācijas tehnoloģiju infrastruktūras pilnveidošana” (turpmāk – Projekts) tiks īstenots MK noteikumu Nr. 338  ietvaros, nodrošinot atbilstību Eiropas Savienības kohēzijas politikas programmas 2021.–2027. gadam noteiktajiem mērķiem un prasībām attiecībā uz IKT infrastruktūras attīstību, drošību un ilgtspēju.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un projekta izmaksu apstiprināšana.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Latvijas tiesību sargājošās iestādes, tostarp Iekšlietu ministrijas padotības iestādes, kuru vajadzībām nepieciešamo IKT infrastruktūru centralizēti uztur Iekšlietu ministrijas Informācijas centrs (turpmāk - IeM IC), paredz modernizēt informācijas apstrādes risinājumu kopumu, lai nodrošinātu efektīvu starpnozaru un starpinstitūciju sadarbību, dažādu struktūru integrēšanu vienotā platformā, pilnveidotu procesu etapus, tai skaitā Kriminālprocesa informācijas sistēmas, Sodu reģistra, Ieroču reģistra, Uzskaišu kategoriju pilnveidi un uzlabošanu, kā arī Kriminālistikas pārvaldes ekspertīžu laboratorijas informācijas sistēmas (ELIS) pilnveidi, paātrinot izmeklēšanas pirmstiesas un tiesvedības procesus un veicinot sistēmisku tiesu ekspertīžu reformu, nodrošinot vienotu informācijas tehnoloģiju infrastruktūru tiesu ekspertīžu procesu atbalstam.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sargājošās iestādes, kuru vajadzībām nepieciešamo IKT infrastruktūru uztur IeM IC un kuru izmitināšanas un darbināšanas  vajadzībām tiek attīstīta un paplašināta IeM IC uzturēto datu centru infrastruktūra ir vismaz tās iestādes, kas ir augstāk minēto sistēmu lietotāji, tajā skaitā, Valsts policija, Valsts robežsardze, tiesas, prokuratūra, Valsts drošības dienests, Satversmes aizsardzības birojs, Militārās izlūkošanas un drošības dienests, Militārā policija, Korupcijas novēršanas un apkarošanas birojs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"primāri digitāls" un minimālās kiberdrošības prasības ievērojami sarežģī saistīto informācijas sistēmu uzbūvi un uzliek papildu prasības to pieejamībai un drošībai. Papildu slogu uzliek aizvien pieaugošais uzglabājamo datu apjoms, kas tiek iegūts elektronisko pierādījumu formā – foto, video, elektroniskie dokumenti un t.ml., jo Iekšlietu ministrijas padotības iestādes aizvien vairāk ikdienā izmanto modernus foto vai video fiksēšanas risinājumus un mobilās viedierīces, atsakās no papīra dokumentu izmantošanas.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nodrošināto attīstāmo risinājumu un informācijas sistēmu izmitināšanu atbilstošā infrastruktūrā, nepieciešamas veikt novecojušu, ražotāja neatbalstītu datu centru infrastruktūras iekārtu un saistītās programmatūras nomaiņu, kā arī veikt infrastruktūras paplašināšanu. Projekta ietvaros plānots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datu uzglabāšanas infrastruktūras iegādi, uzstādīšanu un konfigurāciju;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centru skaitļošanas infrastruktūras iegādi, uzstādīšanu un konfigurāciju;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resursu pārvaldības ražotāja sērijveida programmatūras iegādi (nomu) un konfigurāciju.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pamatojumu nosaka vairākas aktuālās politiskās prioritātes un digitālās pārvaldes jomas arhitektūras: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IKT infrastruktūras un kiberdrošības  arhitektūra, apstiprināta 2025. gada 19. marta Valsts informācijas un komunikācijas tehnoloģiju pārvaldības vadītāju foruma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Jomas specifiskie attīstības mērķi aptver IKT infrastruktūras resursu konsolidāciju, datu centru un mākoņdatošanas risinājumu paplašināšanu un pilnveidošanu, tīklu attīstību un pilnveidošanu, drošu IKT infrastruktūru,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E-lietas jomas mērķarhitektūra apstiprināta Valsts informācijas un komunikācijas tehnoloģiju pārvaldības vadītāju forumā 2025. gada 23. aprīlī, kas aptver tehnoloģisko modernizāciju un kiberdrošības stiprināšanu, tai skaitā augstas pieejamības un mērogojamības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Nacionālās drošības koncepcija, apstiprināta Saeimā 2023. gada 28.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Pastāvīgi notiek valsts pārvaldes iestāžu, tostarp IeM resora, procesu digitalizācija, drošības un tiesībsargājošo institūciju digitālo infrastruktūru un risinājumu kopumu modernizācija, lai nodrošinātu efektīvu starpnozaru un starpinstitūciju sadarbību integrētu digitālo risinājumu ietvarā, kriminālprocesa noregulējuma izpildi, pilnveidotu procesu etapus. Ekspluatācijā ieviesto sistēmu kapacitāte strauji palielinās, jo daudz intensīvāka ir IKT risinājumu izmantošana, elektroniskā formāta radīto dokumentu izmantošana, digitālo fiksēto pierādījumu iegūšanas iespējas, kas tuvākajos gados būtiski palielinās elektroniskā formātā apstrādājamās informācijas intensitāti un uzkrājamo datu apjomu. Šādi apstākļi prasa gan atbilstošu datu centru kapacitātes pieaugumu, gan tajos izmantojamo tehnisko risinājumu unifikāciju.  Kā piemērus straujajai procesu digitalizācijai un pieprasījumam pēc atbilstošu datu centru infrastruktūras kapacitāšu pieauguma var minēt plānoto informācijas sistēmu attīstības projektus</w:t>
      </w:r>
      <w:r w:rsidR="00000000" w:rsidRPr="00000000" w:rsidDel="00000000">
        <w:rPr>
          <w:vertAlign w:val="superscript"/>
          <w:rtl w:val="0"/>
        </w:rPr>
        <w:t xml:space="preserve">1</w:t>
      </w:r>
      <w:r w:rsidR="00000000" w:rsidRPr="00000000" w:rsidDel="00000000">
        <w:rPr>
          <w:rtl w:val="0"/>
        </w:rPr>
        <w:t xml:space="preserve"> – t.sk. Kriminālprocesa informācijas sistēma - EKRASS 2.kārta, Kriminālistikas pārvaldes ekspertīžu laboratorijas informācijas sistēmas (ELIS) attīstība, 2. kārta, Jaunas Personu apliecinošu dokumentu informācijas sistēmas (PADIS)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projekts “E-KRASS 2. kārta un digitālo risinājumu attīstība sabiedriskās kārtības un drošības nodrošināšanai”; projekts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projekts “Kriminālistikas pārvaldes ekspertīžu laboratorijas informācijas sistēmas (ELIS) attīstība, 2. kārta; projekts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projekts Nr. 1.3.1.1/1/25/I/006 ”Jaunas Personu apliecinošu dokumentu informācijas sistēmas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iespēju ieviest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projektus: “E-KRASS 2. kārta un digitālo risinājumu attīstība sabiedriskās kārtības un drošības nodrošināšanai”, “Kriminālistikas pārvaldes ekspertīžu laboratorijas informācijas sistēmas (ELIS) attīstība, 2. kārta”, ”Jaunas Personu apliecinošu dokumentu informācijas sistēmas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minēto projektu ieviešanu, projekta “Informācijas tehnoloģiju infrastruktūras pilnveidošana”  ievaros tiks pilnveidota un paplašināta IeM IC uzturēto datu centru infrastruktūra, lai nodrošinātu iespēju sniegt IKT infrastruktūras pakalpojumus attīstāmo informācijas sistēmu izmitināšanai un darbināšanai.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ir paredzēts paplašināt datu centru kapacitāti, vismaz tādā apjomā, lai varētu izmitināt EKRASS 2.kārta, ELIS, PADIS, Ieroču reģistru, Sodu reģistru un Uzskaišu kategorijas sistēmas (tajā skaitā apakšsistēmas). Paredzams, ka pilnvērtīgai sistēmu drošībai vērtējot to radīto slodzi būs jāpaplašina un jāatjauno datu centru skaitļošanas un datu uzglabāšanas tehniskie risinājumi. Lai garantētu stabilu datu centru darbību vienlaicīgi tiks nodrošināta esošās ražotāja neatbalstītu infrastruktūras elementu nomaiņa un aizstāšana ar aktuālajiem modeļiem, kas dos pieejamības, veiktspējas un kapacitātes pienesumus datu centrā. Papildu projekta ietvaros paredzēts iegādāties/abonēt arī datu centru resursu pārvaldības ražotāja sērijveida programmatūru un veikt atbilstošu tās konfigurāciju.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pilnveidotā infrastruktūra tiks izmantota galvenokārt attīstāmo risinājumu un informācijas sistēmu izmitināšanai.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papildinošs Eiropas Savienības kohēzijas politikas programmas 2021.–2027. gadam 3.2.1. specifiskā atbalsta mērķa “Duālas izmantojamības infrastruktūra un kiberdrošība” 3.2.1.3. pasākuma “Duālas izmantojamības infrastruktūra un kiberdrošība projektam Nr. 3.2.1.3/1/25/I/002  “Kiberdraudu samazināšana iekšlietu nozarē”, nodrošinot centralizētu un drošu IKT infrastruktūru, kas nepieciešama kiberdrošības risinājumu efektīvai ieviešanai, nepastāvot aktivitāšu vai izmaksu pārklāšanās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komercdarbības atbalsts netiks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radītie informācijas un komunikācijas tehnoloģijas risinājumi būs IeM IC īpašumā. Informācijas un komunikācijas tehnoloģijas risinājumi ir paredzēti, lai izmitinātu kritiskajā infrastruktūrā ietilpstošās papildu informācijas sistēmas un nodrošinātu to darbību atbilstoši normatīvo aktu un kiberdrošības prasībām. Projekta ietvaros attīstītie informācijas un komunikācijas tehnoloģijas risinājumi nedod labumu atsevišķiem komersantiem un tādējādi tie negūst labumu / priekšrocības attiecībā pret citiem Eiropas Savienības komersantiem.  Informācijas un komunikācijas tehnoloģijas risinājumu izstrādes darbus veiks pakalpojuma sniedzējs, kas ir atlasīts atklātā, pārredzamā, nediskriminējošā un konkurenci nodrošinošā procedūrā, lai izslēgtu ekonomiskās priekšrocības un attiecīgi -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izmaksas - 1 800 000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īstenot no 2026. gada II ceturkšņa līdz 2029. gada IV ceturksnim. Projekta īstenošanas izdevumu sadalījums pa gadiem norādīts tabulā zemāk (izmaksu sadalījums ir indikatīvs un tas var tikt precizēts, sagatavojot Projekta pieteikumu, kā arī Projekta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tiek finansēts no ERAF līdzekļiem 85% apmērā no projekta kopējā attiecināmām izmaksām. Projekts tiks īstenots 40 mēnešu ietvarā, indikatīvi no 2026. gada II ceturkšņa līdz 2029. gada IV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termiņš noteikts pakārtoti no 1.3.punktā minēto saistīto projektu īstenošanas termiņiem, attiecīgi arī projektam “Informācijas tehnoloģiju infrastruktūras pilnveidošana” īstenošanas termiņš ir līdz 2029.gada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7"/>
              <w:gridCol w:w="1592"/>
              <w:gridCol w:w="1517"/>
              <w:gridCol w:w="1455"/>
              <w:gridCol w:w="1318"/>
              <w:tblGridChange w:id="0">
                <w:tblGrid>
                  <w:gridCol w:w="1617"/>
                  <w:gridCol w:w="1592"/>
                  <w:gridCol w:w="1517"/>
                  <w:gridCol w:w="1455"/>
                  <w:gridCol w:w="13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Reģionālās attīstības fonda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īstenošanas papildus turpmāk katru gadu ir nepieciešamas uzturēšanas izmaksas indikatīvi 229 500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Infrastruktūras uzturēšanas izdevumu provizorisks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masīvu aparatūras garantijas pagarināšana, ieskaitot aparātprogrammatūras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gab. x 15 390 </w:t>
            </w:r>
            <w:r w:rsidR="00000000" w:rsidRPr="00000000" w:rsidDel="00000000">
              <w:rPr>
                <w:sz w:val="24"/>
                <w:i w:val="1"/>
                <w:rtl w:val="0"/>
              </w:rPr>
              <w:t xml:space="preserve">euro</w:t>
            </w:r>
            <w:r w:rsidR="00000000" w:rsidRPr="00000000" w:rsidDel="00000000">
              <w:rPr>
                <w:sz w:val="24"/>
                <w:rtl w:val="0"/>
              </w:rPr>
              <w:t xml:space="preserve"> = 61 560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Serveru (skaitļošanas infrastruktūras) garantijas pagarināšana, ieskaitot aparātprogrammatūras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gab. x 3 043,15 </w:t>
            </w:r>
            <w:r w:rsidR="00000000" w:rsidRPr="00000000" w:rsidDel="00000000">
              <w:rPr>
                <w:sz w:val="24"/>
                <w:i w:val="1"/>
                <w:rtl w:val="0"/>
              </w:rPr>
              <w:t xml:space="preserve">euro</w:t>
            </w:r>
            <w:r w:rsidR="00000000" w:rsidRPr="00000000" w:rsidDel="00000000">
              <w:rPr>
                <w:sz w:val="24"/>
                <w:rtl w:val="0"/>
              </w:rPr>
              <w:t xml:space="preserve"> = 30 431,5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Sērijveida programmatūras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576 gab. x 238,73 </w:t>
            </w:r>
            <w:r w:rsidR="00000000" w:rsidRPr="00000000" w:rsidDel="00000000">
              <w:rPr>
                <w:sz w:val="24"/>
                <w:i w:val="1"/>
                <w:rtl w:val="0"/>
              </w:rPr>
              <w:t xml:space="preserve">euro</w:t>
            </w:r>
            <w:r w:rsidR="00000000" w:rsidRPr="00000000" w:rsidDel="00000000">
              <w:rPr>
                <w:sz w:val="24"/>
                <w:rtl w:val="0"/>
              </w:rPr>
              <w:t xml:space="preserve"> = 137 508,48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Pozīcijas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61 560,00 + 30 431,50 + 137 508,48 = 229 500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balstīts uz nozares praksi un līdzvērtīgas infrastruktūras uzturēšanas izmaksu analīzi; precīzais apmērs tiks precizēts pēc iepirkuma procedūras un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anotācijas 1.sadaļas 1.3.punktā minētajos saistītajos projektos uzturēšanas izmaksas ir paredzētas attīstīto informācijas sistēmu un lietojumprogrammu (programmatūras) uzturēšanai, savukārt šī projekta ietvaros iegādāto resursu uzturēšanas izdevumi attiecas tikai uz IeM IC IKT infrastruktūras uzturēšanu un darbības nodrošināšanu, tādējādi nepastāv izmaksu pārklāšanās vai dubultā finansējuma risks.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ir nepieciešams finansējums 1 800 000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 EKK 5000 - 918 000 </w:t>
            </w:r>
            <w:r w:rsidR="00000000" w:rsidRPr="00000000" w:rsidDel="00000000">
              <w:rPr>
                <w:sz w:val="24"/>
                <w:i w:val="1"/>
                <w:rtl w:val="0"/>
              </w:rPr>
              <w:t xml:space="preserve"> </w:t>
            </w:r>
            <w:r w:rsidR="00000000" w:rsidRPr="00000000" w:rsidDel="00000000">
              <w:rPr>
                <w:sz w:val="24"/>
                <w:i w:val="1"/>
                <w:rtl w:val="0"/>
              </w:rPr>
              <w:t xml:space="preserve">eur</w:t>
            </w:r>
            <w:r w:rsidR="00000000" w:rsidRPr="00000000" w:rsidDel="00000000">
              <w:rPr>
                <w:sz w:val="24"/>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izdevumi EKK 1000 – 270 000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Pakalpojumu izdevumi EKK 2000 - 612 000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Norādītais izmaksu sadalījums ir indikatīvs, tas var tikt precizēts, sagatavojot Projekta pieteikumu, kā arī Projekta īstenošanas laikā.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tiks pieprasīts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lai nodrošinātu projekta uzturēšanas izmaksu segšanu pēc projekta pabeigšanas, tiks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Eiropas Savienības kohēzijas politikas programmas 2021.–2027. gadam ietvaros (Ministru kabeineta 2024.gada 4.jūnija noteikumi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izmantojot ES fondu finansējumu. Tādēļ tas ir cieši saistīts ar Latvijas starptautiskajām saistībām pret Eiropas Savienību, īpaši ES fondu izmantošanas un uzraudzības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veidā sabiedrībai netiek noteiktas jaunas tiesiskās prasības vai pienākumi, tāpēc sabiedrības līdzdalības procedūra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tiks nodrošināta koplietošanas skaitļošanas un datu pārvaldības infrastruktūra un tās pakalpojumi valsts pārvaldes un citu iestāžu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Latvijas nacionālā attīstības plāna 2021.–2027. gadam</w:t>
      </w:r>
      <w:r w:rsidR="00000000" w:rsidRPr="00000000" w:rsidDel="00000000">
        <w:rPr>
          <w:vertAlign w:val="superscript"/>
          <w:rtl w:val="0"/>
        </w:rPr>
        <w:t xml:space="preserve">1</w:t>
      </w:r>
      <w:r w:rsidR="00000000" w:rsidRPr="00000000" w:rsidDel="00000000">
        <w:rPr>
          <w:rtl w:val="0"/>
        </w:rPr>
        <w:t xml:space="preserve"> uzdevuma Nr. 316 “Mūsdienu tehnoloģiju un racionālas, resursu efektīvas, lietotājorientētas un atvērtas pārvaldības ieviešana, lai kvalitatīvi nodrošinātu publiskos pakalpojumus, ievērojot “primāri digitāls”, proaktīvas pakalpojumu sniegšanas un vienreizes principu, t. sk. pārrobežu, kā arī veiktu valsts pārvaldes un pašvaldību IKT infrastruktūras un atbalsta procesu optimizāciju un centralizāciju” izpildi. Attīstot Iekšlietu ministrijas Informācijas centra uzturēto informācijas un komunikācijas tehnoloģiju infrastruktūru, tiks panākta valsts IKT resursu homogēna attīstība, modernizācija un centralizācija.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Saeimas 2020. gada 2. jūlija paziņojums "Par Latvijas Nacionālo attīstības plānu 2021.–2027. gadam (NAP2027)". https://likumi.lv/ta/id/315879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veikta valsts pārvaldes iestāžu IKT infrastruktūras modernizācija un attīstība, attiecīgi tiks pilnveidoti arī infrastruktūras līmeņa datu aizsardzības risinājumi.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w:t>
    </w:r>
    <w:r>
      <w:br/>
    </w:r>
    <w:r w:rsidR="00000000" w:rsidRPr="00000000" w:rsidDel="00000000">
      <w:rPr>
        <w:rtl w:val="0"/>
      </w:rPr>
      <w:t xml:space="preserve">Izdrukāts 29.07.2026. 23.15 - 4.0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w:t>
    </w:r>
    <w:r>
      <w:br/>
    </w:r>
    <w:r w:rsidR="00000000" w:rsidRPr="00000000" w:rsidDel="00000000">
      <w:rPr>
        <w:rtl w:val="0"/>
      </w:rPr>
      <w:t xml:space="preserve">Izdrukāts 29.07.2026. 23.15 - 4.0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anotācija_(ex_ante)_26-TA-23.docx</dc:title>
</cp:coreProperties>
</file>

<file path=docProps/custom.xml><?xml version="1.0" encoding="utf-8"?>
<Properties xmlns="http://schemas.openxmlformats.org/officeDocument/2006/custom-properties" xmlns:vt="http://schemas.openxmlformats.org/officeDocument/2006/docPropsVTypes"/>
</file>