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saskaņā ar Ekonomikas ministrijas pieteiktajiem grozījumiem Eiropas Savienības kohēzijas politikas programmā 2021.–2027.gadam, kā arī tehniskiem precizējumiem tiesību normas interpretācijai.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palielināt finansējumu eksporta veicināšanas atbalstam, kā arī precizēt tiesību normas skaidrākai to interpretācijai.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militārās agresijas sekas pret Ukrainu, kā arī Covid pandēmija ir iemesli nepieciešamajam papildu atbalstam tirgus pārorientācijai un eksporta veicināšanai, lai stimulētu biznesa attīstību. 2023. gada 13. jūlijā Ministru kabinets apstiprināja Ekonomikas ministrijas virzītos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Nr. 407). 1.2.3.1. pasākumā "Atbalsts MVU inovatīvas uzņēmējdarbības attīstībai" (turpmāk - 1.2.3.1. pasākums) eksporta veicināšanas atbalsta finansējums Eiropas Savienības (turpmāk – ES) struktūrfondu 2021.-2027.gada periodā ir vairāk kā trīs reizes mazāks, salīdzinot ar ES struktūrfondu 2014.-2020.gada periodu. Šobrīd pieejami 28,9 milj. EUR eksporta atbalstam (iepriekš 92,2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pieteikusi veicamos grozījumus Eiropas Savienības kohēzijas politikas programmā 2021.–2027.gadam (turpmāk - darbības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pieejamo atbalsta apmēru eksporta veicināšanai pie augošā atbalsta pieprasījuma un mainīgajiem tirgus apstākļiem, kas liek pārskatīt pieejamos tirgus (Ukrainas ietekme), būtiski ir nodrošināt efektīvu valsts intervenci un pastāvīgu atbalsta pieejamību. Šobrīd pēc eksporta veicināšanas atbalsta pieprasījuma ir secināms, ka līdzšinējais finansējums pietiks līdz 2025. gada vidum.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pasākumā "Atbalsts jaunu produktu attīstībai un internacionalizācijai" bija paredzēts veidot divas ārvalstu pārstāvniecības konsultāciju nodrošināšanai. Lai nodrošinātu demarkāciju (nošķiršanu) starp atbalsta programmām, nedublējot pasākumu ietvaros ārvalstu pārstāvniecību darbības, Ekonomikas ministrija ar pieteiktajiem grozījumiem darbības programmā, paredz novirzīt finansējumu 2 milj. EUR apmērā, t.sk. Eiropas Reģionālās attīstības fonda (turpmāk – ERAF) finansējums 1 700 000 EUR apmērā un valsts budžeta finansējums 300 000 EUR apmērā, uz 1.2.3.1. pasākumam, lai Latvijas Investīciju un attīstības aģentūra (LIAA) var nodrošināt papildus trīs ārvalstu pārstāvniecību atvēršanu, nodrošinot komersantiem konsultācijas par jauniem eksporta tirgiem.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un noturības mehānisma un Eiropas Sociālā fonda Plus ietvaros digitālām un nozaru vajadzībās balstītas apmācībām ir šobrīd pieejami 34 milj. EUR. Ņemot vērā atbalsta periodu un līdzšinējo praksi projektu sekmīgai apguvei, secināms, ka digitālo prasmju attīstībai ir pietiekams finansējums. Līdz ar to Ekonomikas ministrija ar pieteiktajiem grozījumiem darbības programmā veic finansējuma pārdali 9 869 476 EUR apmērā, t.sk., ERAF finansējums 8 389 054 EUR apmērā un valsts budžeta finansējums 1 480 422 EUR apmērā, no 1.1.2.2. pasākuma “Uzņēmumu digitālo prasmju attīstība” uz 1.2.3.1.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eksporta veicināšanas atbalstam, kas ir 1.2.3.1. pasākuma ietvaros, ir pieejams trīs reizes mazāks finansējums nekā iepriekšējā struktūrfondu periodā, kā arī pēc pašreizējā eksporta veicināšanas atbalsta pieprasījuma ir secināms, ka šobrīd pieejamais finansējums eksporta veicināšanas atbalstam ir pietiekams līdz 2025. gada vidum, Ekonomikas ministrija novirza Eksporta veicināšanas atbalstam 11 869 475 EUR. No šī atbalsta 2 milj. EUR tiek paredzēti 3 ārvalstu pārstāvniecībām, attiecīgi arī konsultāciju sniegšanai Ženēvā (Šveice), Izraēlā un Briselē (Beļģija), savukārt 9 869 475 EUR atbalstam eksporta veicināšanai (granti un nefinanšu atbalsts).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pasākuma ietvaros plānotais kopējais attiecināmais finansējums ir 85 249 026 euro (elastības finansējums – 16 594 351 euro), tai skaitā Eiropas Reģionālās attīstības fonda (turpmāk – ERAF) finansējums – 72 461 672 euro (elastības finansējums – 14 105 199 euro) un valsts budžeta finansējums – 12 787 354 euro (elastības finansējums – 2 489 152 euro). Maksimālais attiecināmais ERAF finansējuma apmērs nepārsniedz 85 procentus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rādītāju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palielināšanu 1.2.3.1. pasākumā, tiek palielināti iznākuma rādītāji, kas sasniedzami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grantiem atbalstītie uzņēmumi – 343 (ar papildus finansējumu plānots, ka 58 komersanti saņems grantu);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Nefinansiālu atbalstu saņēmušie uzņēmumi – 473 (ar papildus finansējumu plānots, ka 51 komersants saņems nefinanšu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palielināti atbilstoši piešķirtajam finansējumam un sākotnējam rādītāju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Precizētas atsauces uz gala labuma guvējiem biznesa inkubācijas atbalstam, attiecīgi arī sadalīta gala labuma guvēja definīcija biznesa inkubācijas atbalsta saņēmējam, nodalot komersantus un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Finansējuma saņēmējam MK noteikumu Nr. 407 69.9.2. apakšpunktā minētais viedās specializācijas stratēģijas (RIS3) rādītājs "attīstības izdevumu apjoms - privātās investīcijas (euro)", papildinot to sākumā ar vārdiem "pētniecības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ka Finansējuma saņēmējam informācija, kas noteikta MK noteikumu Nr. 407 69. punktā, kopā ar maksājuma pieprasījumu Kohēzijas politikas fondu vadības informācijas sistēmā jāiesniedz vismaz vienu reizi gadā (iepriekš bija vismaz divas reizes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precizēti Finansējuma saņēmējam MK Noteikumu Nr. 407 69. punktā minētie rādītāji, atbilstoši nepieciešamajiem rādītājiem RIS3 monitoringa veikšanai, vienlaikus dzēsts rādītājs par sieviešu un vīriešu skaitu valdēs, jo šo datu monitoringam var izmantot Lursoft vai Uzņēmuma reģistra datus par valdes sastāvu pēc dzimuma.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saņemtos norādījumus Finanšu ministrijas 2024. gada 9. maija vēstulē Nr. 7-4/18/1422 "Par de minimis atbalsta regulējuma nosacījumu ietveršanu atbalsta pasākumos", veikti precizējumi MK noteikumu Nr. 407 79., 80, 81., 84. un 85. punktā par nosacījumiem, kas skar de minimis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sagatavots, pamatojoties uz Ekonomikas ministrijas pieteiktajiem veicamajiem grozījumiem darbības programmā, kā arī 1.2.3. specifiskā atbalsta mērķa pases precizējumiem.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papildus finansējumus eksporta veicināšanas atbalstam, kas dos iespēju atbalstīt vairāk sīkos(mikro), mazos un vidējos uzņēmumus, kā arī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 finansējumu eksporta veicināšanas atbalstam, kas dos iespēju atbalstīt vairāk sīkos(mikro), mazos un vidējos uzņēmumus, kā arī nevalstiskās organizācijas.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 finansējumu eksporta veicināšanas atbalstam, kas dos iespēju atbalstīt vairāk sīkos(mikro), mazos un vidējos uzņēmumus, kā arī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 finansējumu eksporta veicināšanas atbalstam, kas dos iespēju atbalstīt vairāk sīkos(mikro), mazos un vidējos uzņēmumus, kā arī nevalstiskās organizācijas.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 finansējumu eksporta veicināšanas atbalstam, kas dos iespēju atbalstīt vairāk sīkos(mikro), mazos un vidējos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12 833 433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1 940 533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15 098 156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2 282 980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-2 264 723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-342 447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attiecināmais finansējums ir 85 249 026 euro (elastības finansējums – 16 594 351 euro), tai skaitā Eiropas Reģionālās attīstības fonda (turpmāk – ERAF) finansējums – 72 461 672 euro (elastības finansējums – 14 105 199 euro) un valsts budžeta finansējums – 12 787 354 euro (elastības finansējums – 2 489 152 euro). Maksimālais attiecināmais ERAF finansējuma apmērs nepārsniedz 85 procentus no projekta kopējā attiecināmā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iesniegumos pasākuma īstenošanai kopējo pasākumam pieejamo finansējumu plāno ne vairāk kā 68 654 675 euro apmērā, tai skaitā ERAF finansējumu – 58 356 473 euro apmērā, valsts budžeta finansējumu – 10 298 202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noteikumu projektu tiek piešķirts papildus finansējums 6 848 936 EUR apmērā (bez elastības finansējuma). Attiecīgi zemāk tiek norādīts provizoriskais kopējā finansējuma izlietojums pa gadiem, pievienojot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2 230 500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15 098 155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15 098 155 euro + </w:t>
            </w:r>
            <w:r w:rsidR="00000000" w:rsidRPr="00000000" w:rsidDel="00000000">
              <w:rPr>
                <w:sz w:val="24"/>
                <w:b w:val="1"/>
                <w:rtl w:val="0"/>
              </w:rPr>
              <w:t xml:space="preserve">2 282 978 euro</w:t>
            </w:r>
            <w:r w:rsidR="00000000" w:rsidRPr="00000000" w:rsidDel="00000000">
              <w:rPr>
                <w:sz w:val="24"/>
                <w:rtl w:val="0"/>
              </w:rPr>
              <w:t xml:space="preserve"> = 17 381 133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15 098 156 euro + </w:t>
            </w:r>
            <w:r w:rsidR="00000000" w:rsidRPr="00000000" w:rsidDel="00000000">
              <w:rPr>
                <w:sz w:val="24"/>
                <w:b w:val="1"/>
                <w:rtl w:val="0"/>
              </w:rPr>
              <w:t xml:space="preserve">2 282 978 euro</w:t>
            </w:r>
            <w:r w:rsidR="00000000" w:rsidRPr="00000000" w:rsidDel="00000000">
              <w:rPr>
                <w:sz w:val="24"/>
                <w:rtl w:val="0"/>
              </w:rPr>
              <w:t xml:space="preserve"> = 17 381 134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14 280 773 euro + </w:t>
            </w:r>
            <w:r w:rsidR="00000000" w:rsidRPr="00000000" w:rsidDel="00000000">
              <w:rPr>
                <w:sz w:val="24"/>
                <w:b w:val="1"/>
                <w:rtl w:val="0"/>
              </w:rPr>
              <w:t xml:space="preserve">2 282 980 euro </w:t>
            </w:r>
            <w:r w:rsidR="00000000" w:rsidRPr="00000000" w:rsidDel="00000000">
              <w:rPr>
                <w:sz w:val="24"/>
                <w:rtl w:val="0"/>
              </w:rPr>
              <w:t xml:space="preserve">= 19 563 753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Ekonomikas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pasākuma pieejamais finansējums tiek palielināts, pārdalot to no 1.2.1.1. pasākuma "Atbalsts jaunu produktu attīstībai un internacionalizācijai" (2 milj. EUR apmērā, ERAF finansējums 1 700 000 EUR apmērā un valsts budžeta finansējums 300 000 EUR apmērā) un no 1.1.2.2. pasākuma “Uzņēmumu digitālo prasmju attīstība”  9 869 476 EUR apmērā, t.sk., ERAF finansējums 8 389 054 EUR apmērā un valsts budžeta finansējums 1 480 422 EUR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ieguldījumu šādu Latvijas nacionālā attīstības plāna 2021.–2027. gadam (NAP 2027) mērķa indikatoru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Eksporta vienības vērtība (SITC 5–8), 5 gadu slīdošais vidējais pieauguma temps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pozitīvi ietekmēs reģionu attīstību, īpaši attiecībā uz mikro, mazo un vidējo uzņēmumu izaugsmi un attīstību, jo sniegs iespēju apgūt jaunus ārvalstu tirgus.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24-TA-1191</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24-TA-1191</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anotācija_(ex_ante)_24-TA-1191.docx</dc:title>
</cp:coreProperties>
</file>

<file path=docProps/custom.xml><?xml version="1.0" encoding="utf-8"?>
<Properties xmlns="http://schemas.openxmlformats.org/officeDocument/2006/custom-properties" xmlns:vt="http://schemas.openxmlformats.org/officeDocument/2006/docPropsVTypes"/>
</file>