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5. novembra noteikumos Nr. 701 "Modernizācijas fonda finansēto projektu atklāta konkursa "Energoefektivitātes paaugstināšana transporta sektorā – atbalsts elektromobiļu un to uzlādes infrastruktūras ieviešanai"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5. novembra noteikumos Nr. 701. "Modernizācijas fonda finansēto projektu atklāta konkursa "Energoefektivitātes paaugstināšana transporta sektorā – atbalsts elektromobiļu un to uzlādes infrastruktūras ieviešanai" nolikums"" (turpmāk – MK noteikumu projekts) paredz veikt grozījumus Ministru kabineta 2024. gada 5. novembra noteikumos Nr. 701 "Modernizācijas fonda finansēto projektu atklāta konkursa "Energoefektivitātes paaugstināšana transporta sektorā – atbalsts elektromobiļu un to uzlādes infrastruktūras ieviešanai" nolikums"" (turpmāk – MK noteikumi Nr. 701), lai atvieglotu projektu iesniegumu sagatavošanu un iesniegšanu projektu konkursa “Energoefektivitātes paaugstināšana transporta sektorā – atbalsts elektromobiļu un to uzlādes infrastruktūras ieviešanai” (turpmāk - konkurss)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tiek veicināta siltumnīcefekta gāzu (turpmāk - SEG) emisiju samazināšana, bezemisiju transportlīdzekļu ieviešana un uzlādes infrastruktūras attīstība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nodrošināt konkursa trešās kārtas īstenošanu, kā arī precizēt atsevišķus nosacījumus, piemēram, vienkāršot projektu iesniegumu iesniegšanas kārtību un paātrināt apstiprināto projektu īstenošanu, lai veicinātu bezemisiju transportlīdzekļu iegādi un uzlādes infrastruktūras attīstību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sektors ir otrs lielākais siltumnīcefekta gāzu SEG emisiju avots un rada gandrīz trešo daļu no kopējām Latvijas SEG emisijām. Autotransports ir lielākais SEG emisiju avots transporta sektorā. Autotransporta devums ir 97,1%, dzelzceļa transporta 2,5%, iekšzemes kuģošanas 0,2% un iekšzemes gaisa transporta 0,1% no kopējām transporta sektora SEG emisijām 2022.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transporta sektoram nav noteikts atsevišķs SEG emisiju samazināšanas mērķis, taču Latvijai ir noteikts mērķis samazināt SEG emisijas emisijas kvotu tirdzniecības sistēmas neaptverto darbību (turpmāk - ne-ETS) sektorā, kas ietver arī transporta sektoru - par 17% līdz 2030. gadam salīdzinājumā ar 2005. gadu. Vēsturiski SEG emisijas transporta sektorā ir bijušas saistītas ar ekonomiskajiem procesiem Latvijā, un ekonomikas attīstība veicinājusi automobiļu skaita un līdz ar to SEG emisiju pieaugumu. Lai veicinātu oglekļa mazietilpīgu attīstību Latvijā, nepieciešami vispusīgi risinājumi transporta sektorā, atsaistot valsts ekonomisko izaugsmi no SEG emisiju palielināšanās.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dažādu valstu publiski pieejamās iniciatīvas un datus, kā arī Eiropas Automobiļu ražotāju asociācijas ziņojumus, secināms, ka ES dalībvalstīs, tostarp Lietuvā un Igaunijā, pastāv vai pēdējos gados ir pastāvējušas dažādas atbalsta sistēmas bezemisiju transportlīdzekļu iegādei. Atbalsta apjoms parasti ir atkarīgs no vairākiem faktoriem, piemēram, transportlīdzekļa veida, finansējuma saņēmēju loka un transportlīdzekļa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5. novembrī tika pieņemti MK noteikumi Nr. 701, konkursa kopējo Modernizācijas fonda finansējumu nosakot 5 000 000,00 euro apmērā, no tā 1 000 000,00 euro paredzot pašvaldībām un tiešās pārvaldes iestādēm un 4 000 000,00 euro komersantiem. Līdz šim īstenotas divas konkursa kārtas, no kurām pirmajā atlases kārtā projektu iesniegumu pieņemšana noslēdzās 2025. gada 7. februārī, bet otrā - 2025. gada 18. jūlijā. Konkursa pirmo divu kārtu ietvaros kopā tika saņemti 13 projektu iesniegumi, tajā skaitā 9 no komersantiem ar kopējo pieprasīto finansējumu 701 435,00 euro apmērā un 4 no pašvaldībām un tiešās pārvaldes iestādēm ar kopējo pieprasīto finansējumu 105 500,00 euro. Pēc konkursa pirmajā un otrajā kārtā iesniegto projektu iesniegumu izvērtēšanas tika noslēgti 8 līgumi par projekta īstenošanu ar kopējo sākotnēji projektiem piešķirto finansējumu 613 847,00 euro, kā rezultātā Modernizācijas fonda finansējuma atlikums pēc divu konkursa kārtu organizēšanas ir 4 386 153,00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pirmajā un otrajā kārtā noslēgtie līgumi paredz 108 M1 klases un 15 N1 klases elektromobiļu iegādi, ar kuriem plānots viena gada laikā kopumā sasniegt vismaz 2 400 5000 km nobraukumu, kā arī 15 uzlādes staciju ierīkošanu.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divu konkursa kārtu noslēgšanās ir konstatēts, ka MK noteikumos Nr. 701 noteiktais pieejamais Modernizācijas fonda finansējums būtiski pārsniedz finansējuma apjomu, par kuru ir noslēgti līgumi par projektu īstenošanu, tādēļ nepieciešams organizēt trešo konkursa kārtu.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pirmo divu konkursa kārtu norisi un apkopojot saņemtos viedokļus, tajā skaitā nozaru asociācijām un pašvaldībām, ir identificēti vairāki aspekti, kas kavēja aktīvāku projektu iesniegumu iesniegšanu un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Projekta iesnieguma iesniegšanas administratīvās prasības </w:t>
      </w:r>
      <w:r w:rsidR="00000000" w:rsidRPr="00000000" w:rsidDel="00000000">
        <w:rPr>
          <w:rtl w:val="0"/>
        </w:rPr>
        <w:t xml:space="preserve">— laikietilpīgs process, t.i. garš laika posms no projekta iesnieguma iesniegšanas līdz finansējuma saņemšanai (īpaši aktuāli ir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Prasības attiecībā uz autoparku</w:t>
      </w:r>
      <w:r w:rsidR="00000000" w:rsidRPr="00000000" w:rsidDel="00000000">
        <w:rPr>
          <w:rtl w:val="0"/>
        </w:rPr>
        <w:t xml:space="preserve"> — minimālais projekta iesniedzēja īpašumā esošo automobiļu skaits (pašlaik 5) un konkursa ietvaros iegādājamo elektromobiļu minimālais skaits (vismaz 2) mazina komersantu interesi dalībai konkursā;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 Ikgadējā nobraukuma nosacījums </w:t>
      </w:r>
      <w:r w:rsidR="00000000" w:rsidRPr="00000000" w:rsidDel="00000000">
        <w:rPr>
          <w:rtl w:val="0"/>
        </w:rPr>
        <w:t xml:space="preserve">— prasība ar elektromobili sasniegt 20 000 km nobraukumu gada laikā (monitoringa periodā) ierobežo dalību konkursā gan pašvaldības, gan komersantus, kuru darbības specifika neļauj šo nobraukumu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 Elektroenerģijas izmantošanas nosacījums</w:t>
      </w:r>
      <w:r w:rsidR="00000000" w:rsidRPr="00000000" w:rsidDel="00000000">
        <w:rPr>
          <w:rtl w:val="0"/>
        </w:rPr>
        <w:t xml:space="preserve"> — prasība saražoto elektroenerģiju 100 % apmērā izmantot tikai elektromobiļu uzlādes punktu darbības un funkciju nodrošināšanai apgrūtina enerģijas sadali atbalsta saņēmējiem, liekot veidot atsevišķu uzskaites sistēmu un neļauj saražoto elektroenerģiju izmantot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5. Konkursa elastības trūkums</w:t>
      </w:r>
      <w:r w:rsidR="00000000" w:rsidRPr="00000000" w:rsidDel="00000000">
        <w:rPr>
          <w:rtl w:val="0"/>
        </w:rPr>
        <w:t xml:space="preserve"> — pašreizējais regulējums neparedz iespēju vienam projekta iesniedzējam iesniegt vairākus projektus, kas ierobežo iespēju pakāpeniski atjaunot esošo autoparku.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vienkāršot projektu iesnieguma sagatavošanas un iesniegšanas nosacījumus, paātrināt projektu īstenošanas procesu un veikt citus nepieciešamos precizējumus, lai veicinātu projektu iesniedzēju aktivitāti konkursā.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noteikumu projekts paredz izdarīt šādus grozījumus MK noteikumos Nr. 701: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Tiesiskais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Nr.701 tiesiskais pamatojums (deleģējums)</w:t>
      </w:r>
      <w:r w:rsidR="00000000" w:rsidRPr="00000000" w:rsidDel="00000000">
        <w:rPr>
          <w:rtl w:val="0"/>
        </w:rPr>
        <w:t xml:space="preserve">, t.i. 2025.gada 12.decembrī spēkā stājās Klimatnoturības un ekonomiskās ilgtspējas likums, kura 18.panta piektajā daļā paredzēts, ka Ministru kabinets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pārskatu iesniegšanas un pārbaudes kārtību, kā arī neattiecināmo Modernizācijas fonda līdzekļu atgūšanas nosacījumus un kārtību. Vienlaikus Pārejas noteikumu 13. punktā paredzēts, ka MK noteikumi Nr.701 ir piemērojami līdz 2035. gada 31. decembrim,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Konkursa trešās kārtas organizēšana un projekta iesnieguma iesniegšanas un projekta aktivitāšu īstenošanas nosacījumu vienkāršošana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Nr. 701 3. punkts (t.sk. 3.1. un 3.2. apakšpunkts)</w:t>
      </w:r>
      <w:r w:rsidR="00000000" w:rsidRPr="00000000" w:rsidDel="00000000">
        <w:rPr>
          <w:rtl w:val="0"/>
        </w:rPr>
        <w:t xml:space="preserve">, samazinot projektu īstenošanas periodu konkursa trešās kārtas ietvaros no 18 mēnešiem uz 6 mēnešiem. Tādējādi nodrošinot, ka finansējums tiek "rezervēts" projektu iesniedzējiem, kas atbilst konkursa prasībām, vienlaikus to "neiesaldējot" uz ilgu termiņu, gadījumā ja projekta īstenotājs apstirpināto projektu nolemj neīstenot.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noteikumi tiek papildināti ar jaunu 3.</w:t>
      </w:r>
      <w:r w:rsidR="00000000" w:rsidRPr="00000000" w:rsidDel="00000000">
        <w:rPr>
          <w:u w:val="single"/>
          <w:vertAlign w:val="superscript"/>
          <w:rtl w:val="0"/>
        </w:rPr>
        <w:t xml:space="preserve">1</w:t>
      </w:r>
      <w:r w:rsidR="00000000" w:rsidRPr="00000000" w:rsidDel="00000000">
        <w:rPr>
          <w:u w:val="single"/>
          <w:rtl w:val="0"/>
        </w:rPr>
        <w:t xml:space="preserve"> punktu,</w:t>
      </w:r>
      <w:r w:rsidR="00000000" w:rsidRPr="00000000" w:rsidDel="00000000">
        <w:rPr>
          <w:rtl w:val="0"/>
        </w:rPr>
        <w:t xml:space="preserve"> paredzot konkursa trešo kārtu, tādā veidā pagarinot konkursa īstenošanas termiņu līdz 2029.gada 31.decembrim. Konkursa trešajā kārtā projekta iesniegumi tiks pieņemti "rindas kārtībā" līdz iepriekš minētajam konkursa īstenošanas termiņa beigām vai līdz beidzies konkursā paredzētais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10. punkts</w:t>
      </w:r>
      <w:r w:rsidR="00000000" w:rsidRPr="00000000" w:rsidDel="00000000">
        <w:rPr>
          <w:rtl w:val="0"/>
        </w:rPr>
        <w:t xml:space="preserve">, paredzot iespēju konkursa trešajā kārtā vienam projekta iesniedzējam iesniegt vairākus projektu iesniegumus, tādējādi sniedzot iespēju projektu īstenotājiem pakāpeniski atjaunot savu autoparku.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svītrots MK noteikumu 14. un 15. punkts</w:t>
      </w:r>
      <w:r w:rsidR="00000000" w:rsidRPr="00000000" w:rsidDel="00000000">
        <w:rPr>
          <w:rtl w:val="0"/>
        </w:rPr>
        <w:t xml:space="preserve">, kurā noteikta iespēja kopējo finansējuma atlikumu novirzīt no vienas iesniedzēju grupas otrai (pašvaldībām un tiešās pārvaldes iestādēm vai komersantiem), ja vienā no iesniedzēju grupām projektu iesniegumos pieprasīts mazāks kopējais finansējuma apjoms nekā kopējais noteiktais. Šie punkti svītroti, jo izveidota trešā konkursa kārta ar īstenošanas termiņu līdz 2029.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17.4. apakšpunkts</w:t>
      </w:r>
      <w:r w:rsidR="00000000" w:rsidRPr="00000000" w:rsidDel="00000000">
        <w:rPr>
          <w:rtl w:val="0"/>
        </w:rPr>
        <w:t xml:space="preserve">, nosakot, ka projekta iesniedzēja īpašumā esošo transportlīdzekļu norakstīšana ir atbalstāma aktivitāte tikai konkursa pirmajās divās kārtās. Konkursa trešajā kārtā tiek veikta tikai projektu iesniegumu administratīvā vērtēšana, t.i. projektu iesniegumu vērtēšana atbilstoši kvalitātes vērtēšanas kritērijiem (viens no tiem - īpašumā esošo transportlīdzekļu norakstīšana) netiek veikta.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17.5. apakšpunkts un 19.punkts</w:t>
      </w:r>
      <w:r w:rsidR="00000000" w:rsidRPr="00000000" w:rsidDel="00000000">
        <w:rPr>
          <w:rtl w:val="0"/>
        </w:rPr>
        <w:t xml:space="preserve">, samazinot komunikācijas un vizuālās identitātes prasības konkursa trešās kārtas ietvaros, tādā veidā atvieglojot projekta iesniegšanas un aktivitāšu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Precizējumi attiecībā uz konkursa kārtās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12. punkts, kā arī 13.1. un 13.2. apakšpunkts</w:t>
      </w:r>
      <w:r w:rsidR="00000000" w:rsidRPr="00000000" w:rsidDel="00000000">
        <w:rPr>
          <w:rtl w:val="0"/>
        </w:rPr>
        <w:t xml:space="preserve">, papildinot tajos norādīto kopējo Modernizācijas fonda finansējuma apjomu un katrai projektu iesniedzēju grupai pieejamo finansējuma daļu ar informāciju par finansējuma apjomu konkursa pirmās un otrās, un trešās kārtas ietvaros. Konkursa pirmās un otrās kārtas ietvaros pieejamais finansējums atbilst Vides investīciju fonda sniegtajai informācijai par šajās kārtās sākotnēji apstiprināto finansējumu (spēkā esošajiem līgumiem). Savukārt konkursa trešās kārtas ietvaros pieejamais finansējums veidojas no Modernizācijas fonda atlikušā finansējuma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noteikumi tiek papildināti ar jaunu 12.</w:t>
      </w:r>
      <w:r w:rsidR="00000000" w:rsidRPr="00000000" w:rsidDel="00000000">
        <w:rPr>
          <w:u w:val="single"/>
          <w:vertAlign w:val="superscript"/>
          <w:rtl w:val="0"/>
        </w:rPr>
        <w:t xml:space="preserve">1</w:t>
      </w:r>
      <w:r w:rsidR="00000000" w:rsidRPr="00000000" w:rsidDel="00000000">
        <w:rPr>
          <w:u w:val="single"/>
          <w:rtl w:val="0"/>
        </w:rPr>
        <w:t xml:space="preserve"> apakšpunktu</w:t>
      </w:r>
      <w:r w:rsidR="00000000" w:rsidRPr="00000000" w:rsidDel="00000000">
        <w:rPr>
          <w:rtl w:val="0"/>
        </w:rPr>
        <w:t xml:space="preserve">, nosakot, ka, ja konkursa pirmajai un otrajai kārtai paredzētais finansējums netiek piešķirts pilnā apmērā, tā atlikums tiek novirzīts konkursa trešās kārtas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Precizēts projekta dzīves cikls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24. punkts</w:t>
      </w:r>
      <w:r w:rsidR="00000000" w:rsidRPr="00000000" w:rsidDel="00000000">
        <w:rPr>
          <w:rtl w:val="0"/>
        </w:rPr>
        <w:t xml:space="preserve">, nosakot konkrētu projekta dzīves cikla ilgumu. Projekta dzīves cikla ilgumu nosaka, ievērojot materiālu normatīvo kalpošanas ilgumu būvniecības jomā atbilstoši normatīvajiem aktiem, kas nosaka kārtību, kādā veicama būvju kadastrālā uzmērīšana, un pamatlīdzekļu nolietojuma normas, kas noteiktas normatīvajos aktos, kas nosaka kārtību, kādā veicama uzskaites kārtība budžeta iestādēs (ja attiecināms). Projekta dzīves cikls aptver laikposmu no projekta darbību uzsākšanas līdz noteiktajam projekta rezultātu uzturēšanas termiņam. Projekta dzīves cikla ilgums ir vismaz pieci gadi pēc projekta īstenošanas noslēguma pārskata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Prasības komersantiem attiecībā uz esošo autoparku un noteikto minimālo konkursa ietvaros iegādājamo elektromobiļu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28.2. (t.sk. 28.2.1. un 28.2.2.) un 28.3. (t.sk. 28.3.1. un 28.3.2.) apakšpunkts</w:t>
      </w:r>
      <w:r w:rsidR="00000000" w:rsidRPr="00000000" w:rsidDel="00000000">
        <w:rPr>
          <w:rtl w:val="0"/>
        </w:rPr>
        <w:t xml:space="preserve">, samazinot prasības komersantiem attiecībā uz esošo autoparku un konkursa ietvaros nepieciešamo elektroauto iegādes apjomu konkursa trešās kārtas ietvaros. Pašlaik 28.2. apakšpunkts nosaka, uz projekta iesnieguma iesniegšanas dienu projekta iesniedzēja - komersanta - īpašumā ne mazāk kā vienu gadu ir vismaz pieci M1, M2, N1 vai N2 kategorijas transportlīdzekļi, kuriem uz projekta iesnieguma iesniegšanas brīdi ir derīga pielaide ceļu satiksmei un kas ir aprīkoti ar fosilo degvielu darbināmiem iekšdedzes dzinējiem. Prasība samazināta autoparka lielumam, dodot iespēju konkursa trešajā kārtā atbalstu elektromobiļu iegādei saņemt komersantam, kura īpašumā ir vismaz divi M1, M2, N1 vai N2 kategorijas transportlīdzekļi. Atcelta prasība, ka automobiļiem esošajā autoparkā jābūt aprīkotiem tikai ar fosilo degvielu darbināmiem iekšdedzes dzinējiem. Trešajā konkursa kārtā atcelta 28.3. apakšpunktā minētā prasība, ka konkursa ietvaros nepieciešams iegādāties vismaz trīs elektromobiļus. Šīs izmaiņas padara programmu pieejamāku plašākam komersantu lokam.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Prasība par konkursa ietvaros uzstādīto atjaunīgās elektroenerģijas ražošanas iekārtu saražotās elektroenerģijas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47. punkts</w:t>
      </w:r>
      <w:r w:rsidR="00000000" w:rsidRPr="00000000" w:rsidDel="00000000">
        <w:rPr>
          <w:rtl w:val="0"/>
        </w:rPr>
        <w:t xml:space="preserve">, paredzot iespēju konkursa ietvaros uzstādīto atjaunīgās enerģijas ražošanas tehnoloģiju saražoto elektroenerģiju izmantot ne tikai elektromobiļu uzlādes punktu darbības un uzlādes punkta teritorijas funkciju (piemēram, apgaismojuma) nodrošināšanai, bet arī projekta iesniedzēja pašpatēriņa vajadzībām. Pašreiz spēkā esošā redakcija paredz, ka visa saražotā elektroenerģija (100 %) izmantojama tikai elektromobiļu uzlādes punktu darbības un ar tiem saistīto teritorijas funkciju nodrošināšanai. Tādējādi sniedzot elastīgāku pieeju atjaunīgo energoresursu iekārtu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Ar komercdabības atbalsta saņemšanu saistīto nosacījumu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51. punkts,</w:t>
      </w:r>
      <w:r w:rsidR="00000000" w:rsidRPr="00000000" w:rsidDel="00000000">
        <w:rPr>
          <w:rtl w:val="0"/>
        </w:rPr>
        <w:t xml:space="preserve"> lai pagarinātu atbalsta piešķiršanas termiņu saskaņā ar Komisijas Regulu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58. punkts,</w:t>
      </w:r>
      <w:r w:rsidR="00000000" w:rsidRPr="00000000" w:rsidDel="00000000">
        <w:rPr>
          <w:rtl w:val="0"/>
        </w:rPr>
        <w:t xml:space="preserve"> lai pagarinātu atbalsta piešķiršanas termiņu saskaņā ar Komisijas Regulu (ES) Nr. 651/2014 ar ko noteiktas atbalsta kategorijas atzīst par saderīgām ar iekšējo tirgu, piemērojot Līguma 107. un 108.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Precizējumi projekta iesnieguma iesniegšanas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64. punkts un MK noteikumi tiek papildināti ar jaunu 64.</w:t>
      </w:r>
      <w:r w:rsidR="00000000" w:rsidRPr="00000000" w:rsidDel="00000000">
        <w:rPr>
          <w:u w:val="single"/>
          <w:vertAlign w:val="superscript"/>
          <w:rtl w:val="0"/>
        </w:rPr>
        <w:t xml:space="preserve">1 </w:t>
      </w:r>
      <w:r w:rsidR="00000000" w:rsidRPr="00000000" w:rsidDel="00000000">
        <w:rPr>
          <w:u w:val="single"/>
          <w:rtl w:val="0"/>
        </w:rPr>
        <w:t xml:space="preserve">punktu</w:t>
      </w:r>
      <w:r w:rsidR="00000000" w:rsidRPr="00000000" w:rsidDel="00000000">
        <w:rPr>
          <w:rtl w:val="0"/>
        </w:rPr>
        <w:t xml:space="preserve">, precizējot, ka projektu iesniegšanas termiņa nosacījumi attiecas tikai uz pirmo un otro konkursa kārtu. Konkursa trešajā kārtā projekta pieteikumi tiek pieņemti "rindas kārtībā" līdz 2029. gada 31.decembrim vai līdz beidzies konkursā paredzētais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65. punkts un MK noteikumi papildināti 1.</w:t>
      </w:r>
      <w:r w:rsidR="00000000" w:rsidRPr="00000000" w:rsidDel="00000000">
        <w:rPr>
          <w:u w:val="single"/>
          <w:vertAlign w:val="superscript"/>
          <w:rtl w:val="0"/>
        </w:rPr>
        <w:t xml:space="preserve">1</w:t>
      </w:r>
      <w:r w:rsidR="00000000" w:rsidRPr="00000000" w:rsidDel="00000000">
        <w:rPr>
          <w:u w:val="single"/>
          <w:rtl w:val="0"/>
        </w:rPr>
        <w:t xml:space="preserve"> pielikumu. </w:t>
      </w:r>
      <w:r w:rsidR="00000000" w:rsidRPr="00000000" w:rsidDel="00000000">
        <w:rPr>
          <w:rtl w:val="0"/>
        </w:rPr>
        <w:t xml:space="preserve">Grozījumi MK noteikumu Nr.701 65. punktā nosaka, ka, lai piedalītos konkursa trešajā kārtā, projekta iesnieguma iesniedzējam jāiesniedz projekta iesnieguma veidlapa, kas atbilst precizētajam 1.</w:t>
      </w:r>
      <w:r w:rsidR="00000000" w:rsidRPr="00000000" w:rsidDel="00000000">
        <w:rPr>
          <w:vertAlign w:val="superscript"/>
          <w:rtl w:val="0"/>
        </w:rPr>
        <w:t xml:space="preserve">1</w:t>
      </w:r>
      <w:r w:rsidR="00000000" w:rsidRPr="00000000" w:rsidDel="00000000">
        <w:rPr>
          <w:rtl w:val="0"/>
        </w:rPr>
        <w:t xml:space="preserve"> pielikumam. 1.</w:t>
      </w:r>
      <w:r w:rsidR="00000000" w:rsidRPr="00000000" w:rsidDel="00000000">
        <w:rPr>
          <w:vertAlign w:val="superscript"/>
          <w:rtl w:val="0"/>
        </w:rPr>
        <w:t xml:space="preserve">1</w:t>
      </w:r>
      <w:r w:rsidR="00000000" w:rsidRPr="00000000" w:rsidDel="00000000">
        <w:rPr>
          <w:rtl w:val="0"/>
        </w:rPr>
        <w:t xml:space="preserve"> pielikums veidots atbilstoši projekta iesnieguma iesniegšanas prasībām (vienkāršotām) konkursa trešajā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65.1. apakšpunkts</w:t>
      </w:r>
      <w:r w:rsidR="00000000" w:rsidRPr="00000000" w:rsidDel="00000000">
        <w:rPr>
          <w:rtl w:val="0"/>
        </w:rPr>
        <w:t xml:space="preserve">, dodot iespēju projekta iesniedzējam pilnvarot personu parakstīt ar projekta īstenošanu saistītās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67. punkts</w:t>
      </w:r>
      <w:r w:rsidR="00000000" w:rsidRPr="00000000" w:rsidDel="00000000">
        <w:rPr>
          <w:rtl w:val="0"/>
        </w:rPr>
        <w:t xml:space="preserve"> atbilstoši konkursa trešās kārtas norisei, kurā projekta iesniegumus paredzēts pieņemt un izskatīt "rindas kārtībā". Paātrināts iesniegumu identifikācijas numuru piešķiršanas process no 7 uz 5 darbadienām.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Projekta iesnieguma vērtēšanas un lēmumu pieņemšanas procesa paātrināšana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70. punkts un tas papildināts ar jauniem 70.1. un 70.2. apakšpunktiem</w:t>
      </w:r>
      <w:r w:rsidR="00000000" w:rsidRPr="00000000" w:rsidDel="00000000">
        <w:rPr>
          <w:rtl w:val="0"/>
        </w:rPr>
        <w:t xml:space="preserve">, nosakot projekta iesniegumu vērtēšanas komisijas sastāvu konkursa trešās kārtas ietvaros. Vērtēšanas komisijas sastāvā atbilstoši Ministru kabineta 2023. gada 13. jūlija noteikumu Nr. 396 "Modernizācijas fonda darbības kārtības noteikumi un daudzgadu darbības programma" 16. punkta minimālajām prasībām ietilpst divi Vides investīciju fonda un viens Klimata un enerģētikas ministrijas pārstāvis. Satiksmes ministrijas pārstāvis netiek pieaicināts ņemot vērā, ka konkursa trešās kārtas ietvaros notiek tikai projektu administratīvā vērtēšana, projektu iesniegumu vērtēšana atbilstoši kvalitātes vērtēšanas kritērijiem netiek veikta, tādējādi 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74. un 76.  punkts, kā arī MK noteikumi papildināti ar 76.</w:t>
      </w:r>
      <w:r w:rsidR="00000000" w:rsidRPr="00000000" w:rsidDel="00000000">
        <w:rPr>
          <w:u w:val="single"/>
          <w:vertAlign w:val="superscript"/>
          <w:rtl w:val="0"/>
        </w:rPr>
        <w:t xml:space="preserve">1 </w:t>
      </w:r>
      <w:r w:rsidR="00000000" w:rsidRPr="00000000" w:rsidDel="00000000">
        <w:rPr>
          <w:u w:val="single"/>
          <w:rtl w:val="0"/>
        </w:rPr>
        <w:t xml:space="preserve">punktu,</w:t>
      </w:r>
      <w:r w:rsidR="00000000" w:rsidRPr="00000000" w:rsidDel="00000000">
        <w:rPr>
          <w:rtl w:val="0"/>
        </w:rPr>
        <w:t xml:space="preserve"> nosakot projektu vērtēšanas kārtību trešās konkursa kārtas ietvaros. Konkursa trešajā kārtā projektu iesniegumi tiek vērtēti tikai pēc administratīvajiem kritērijiem. Projektu iesniegumus atbilstoši kvalitātes vērtēšanas kritērijiem nevērtē un finansējumu piešķir visiem projektiem, kas atbilst administratīvās vērtēšanas kritērijiem un kam pieejams konkursā paredzētais finansējums. Konkursa pirmajā un otrajā kārtā lēmums par projekta apstiprināšanu tika pieņemts apmēram 2 mēnešus pēc konkursa izsludināšanas. Grozījumi paredz, ka projekta pieteikumi tiek pieņemti un izskatīti "rindas kārtībā", samazinot katra projekta iesnieguma izskatīšanas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2. pielikums</w:t>
      </w:r>
      <w:r w:rsidR="00000000" w:rsidRPr="00000000" w:rsidDel="00000000">
        <w:rPr>
          <w:rtl w:val="0"/>
        </w:rPr>
        <w:t xml:space="preserve">, papildinot to ar administratīvās vērtēšanas kritērijiem konkursa trešās kārtas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Projekta līguma noslēgšanas un finansējuma saņemšanas kārtība konkursa trešās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82. punkts</w:t>
      </w:r>
      <w:r w:rsidR="00000000" w:rsidRPr="00000000" w:rsidDel="00000000">
        <w:rPr>
          <w:rtl w:val="0"/>
        </w:rPr>
        <w:t xml:space="preserve">, ņemot vērā, ka konkursa trešajā kārtā projekta pieteikumi tiek pieņemti un izskatīti "rindas kārtībā" līdz konkursa īstenošanas termiņa beigām vai līdz beidzies konkursā paredzētais finansējums. Ja projekta iesniedzējs nenoslēdz projekta līgumu noteiktajā termiņā, tas zaudē tiesības slēgt projekta līgumu, projektam rezervētais Modernizācijas fonda finansējums tiek atgriezts konkursa ietvaros kopējā pieejamajā Modernizācijas fonda finansējumā trešās kārtas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noteikumi tiek papildināti ar 95.</w:t>
      </w:r>
      <w:r w:rsidR="00000000" w:rsidRPr="00000000" w:rsidDel="00000000">
        <w:rPr>
          <w:u w:val="single"/>
          <w:vertAlign w:val="superscript"/>
          <w:rtl w:val="0"/>
        </w:rPr>
        <w:t xml:space="preserve">1</w:t>
      </w:r>
      <w:r w:rsidR="00000000" w:rsidRPr="00000000" w:rsidDel="00000000">
        <w:rPr>
          <w:u w:val="single"/>
          <w:rtl w:val="0"/>
        </w:rPr>
        <w:t xml:space="preserve"> punktu</w:t>
      </w:r>
      <w:r w:rsidR="00000000" w:rsidRPr="00000000" w:rsidDel="00000000">
        <w:rPr>
          <w:rtl w:val="0"/>
        </w:rPr>
        <w:t xml:space="preserve">, nosakot, ka finansējuma saņēmējs konkursa trešajā kārtā veic visus ar projekta aktivitāšu īstenošanu saistītos maksājumus no piesaistītiem vai pašu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noteikumi tiek papildināti ar 97.</w:t>
      </w:r>
      <w:r w:rsidR="00000000" w:rsidRPr="00000000" w:rsidDel="00000000">
        <w:rPr>
          <w:u w:val="single"/>
          <w:vertAlign w:val="superscript"/>
          <w:rtl w:val="0"/>
        </w:rPr>
        <w:t xml:space="preserve">1</w:t>
      </w:r>
      <w:r w:rsidR="00000000" w:rsidRPr="00000000" w:rsidDel="00000000">
        <w:rPr>
          <w:u w:val="single"/>
          <w:rtl w:val="0"/>
        </w:rPr>
        <w:t xml:space="preserve"> punktu,</w:t>
      </w:r>
      <w:r w:rsidR="00000000" w:rsidRPr="00000000" w:rsidDel="00000000">
        <w:rPr>
          <w:rtl w:val="0"/>
        </w:rPr>
        <w:t xml:space="preserve"> nosakot, ka Vides invesīciju fondam ir pienākums veikt regulāru rezervētā un izmaksātā Modernizācijas fonda finansējuma uzskaiti un šo informāciju regulāri atjaunot Vides investīciju fonda tīimekļvietnē.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Monitoringa prasības saistībā ar elektromobiļu nobraukumu un finansējuma saņēmēja īpašumā esošajiem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32., 33., 108. un 109. punkts</w:t>
      </w:r>
      <w:r w:rsidR="00000000" w:rsidRPr="00000000" w:rsidDel="00000000">
        <w:rPr>
          <w:rtl w:val="0"/>
        </w:rPr>
        <w:t xml:space="preserve">, samazinot monitoringa prasību konkursa trešās kārtas ietvaros iegādātā elektromobiļa nobraukumam no 80 000 km uz 41 600 km. Ar izmaiņām plānots palielināt potenciālo projekta iesniedzēju loku, kuru darbības specifika nav ļāvusi gada laikā sasniegt 20 000 km nobraukumu un līdz ar to atturējusi no dalības konkursā.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106. punkts, un MK noteikumi papildināti ar jaunu 106.</w:t>
      </w:r>
      <w:r w:rsidR="00000000" w:rsidRPr="00000000" w:rsidDel="00000000">
        <w:rPr>
          <w:u w:val="single"/>
          <w:vertAlign w:val="superscript"/>
          <w:rtl w:val="0"/>
        </w:rPr>
        <w:t xml:space="preserve">1</w:t>
      </w:r>
      <w:r w:rsidR="00000000" w:rsidRPr="00000000" w:rsidDel="00000000">
        <w:rPr>
          <w:u w:val="single"/>
          <w:rtl w:val="0"/>
        </w:rPr>
        <w:t xml:space="preserve"> punktu</w:t>
      </w:r>
      <w:r w:rsidR="00000000" w:rsidRPr="00000000" w:rsidDel="00000000">
        <w:rPr>
          <w:rtl w:val="0"/>
        </w:rPr>
        <w:t xml:space="preserve">, nosakot, ka monitoringa periodā finansējuma saņēmējam jāsniedz informācija par tā īpašumā esošu ar fosilo degvielu darbināmu iekšdedzes dzinēju transportlīdzekļu norakstīšanu vai ziedošanu Ukrainas atbalstam. Šīs izmaiņas nepieciešamas, lai nodrošinātu programmas rezultātā panāktā SEG emisiju samazinājuma uzskaiti, ņemot vērā, ka no MK noteikumu projekta ir svītrota transportlīdzekļu norakstīšana kā atbalstāmā aktivitāte, jo konkursa trešajā kārtā projektu kvalitātes vērtēšana netiek piemērota. Transportlīdzekļu ziedošana vispārējam atbalstam Ukrainas sabiedrībai tiek īstenota atbilstoši Ukrainas iedzīvotāju atbalsta likuma 11. pantā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projektu konkursa vērtēšanu un vērtēšanas rezultātus un projektu īstenošanas nosacījumus pirmās un otrās kārtas ietvaros iesniegtajiem 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pašvaldības kapitālsabiedrība, valsts tiešās pārvaldes iestāde un komersants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saņēmēji atbalsta programmas ietvaros ir komersanti, pašvaldības, pašvaldībukapitālsabiedrības un valsts tiešās pārvaldes iestādes. MK noteikumu projekts paredz vienkāršot iesnieguma sagatavošanas un iesniegšanas nosacījumus, paātrināt projektu īstenošanas procesu, ieviest konkursa elastību un veikt citus nepieciešamos redakcionālos precizējumus, lai veicinātu dalībnieku (juridisko personu) aktivitāti konkursā.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palielināsies klientu (pašvaldību, pašvaldības kapitālsabiedrību, valsts tiešās pārvaldes iestāžu un komersantu) loks uzņēmumiem, kas nodarbojas ar elektromobiļu, elektromobiļu uzlādes infrastruktūras un atjaunīgo energoresursu iekārtu ražošanu, piegādi, uzstādīšanu un apkopi, līdz ar to palielināsies konkurence uzņēmumu starpā.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elektromobiļu ražotājiem vai to oficiālajiem pārstāvjiem (valsts akciju sabiedrības "Ceļu satiksmes drošības direkcija" pārziņā esošajā transportlīdzekļu un to vadītāju valsts reģistrā reģistrēta komersanta, kas normatīvajos aktos noteiktajā kārtībā ierīkojis un reģistrējis transportlīdzekļu tirdzniecības vietu un ko elektromobiļa ražotājs ir oficiāli pilnvarojis pārstāvēt tā intereses), potenciāli veicinot pieprasījumu pēc elektromobiļu iegādes salīdzinājumā ar situāciju, kurā atbalsts elektromobiļu iegādei attiecīgajai mērķgrupai netiktu piešķirts. Savukārt negatīva ietekme var veidoties automobiļu ražotājiem, kuri ražo automobiļus ar iekšdedzes dzinējiem, vai to oficiālajiem pārstāvjiem, jo atbalsta programma sniedz priekšrocības komersantiem, kuri iegādājas elektromobiļus tālākpārdošanai, salīdzinājumā ar komersantiem, kuri tirdzniecībai elektromobiļus nepiedāvā.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elektromobiļu ražotājiem vai to oficiālajiem pārstāvjiem (valsts akciju sabiedrības "Ceļu satiksmes drošības direkcija" pārziņā esošajā transportlīdzekļu un to vadītāju valsts reģistrā reģistrēta komersanta, kas normatīvajos aktos noteiktajā kārtībā ierīkojis un reģistrējis transportlīdzekļu tirdzniecības vietu un ko elektromobiļa ražotājs ir oficiāli pilnvarojis pārstāvēt tā intereses), potenciāli veicinot pieprasījumu pēc elektromobiļu iegādes salīdzinājumā ar situāciju, kurā atbalsts elektromobiļu iegādei attiecīgajai mērķgrupai netiktu piešķirts. No tā izriet, ka atbalsta programma sniedz priekšrocības komersantiem, kuri iegādājas elektromobiļus tālākpārdošanai, salīdzinājumā ar komersantiem, kuri tirdzniecībai elektromobiļus nepiedāvā.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īstenošanas rezultātā potenciāli var tikt veicināta jaunu darba vietu veidošanās, kas saistītas ar elektromobiļu uzlādes infrastruktūras un atjaunīgo energoresursu iekārtu piegādi, uzstādīšanu un apkopi.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32018R0858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2018/858 (2018. gada 30. maijs) par mehānisko transportlīdzekļu un to piekabju, kā arī tādiem transportlīdzekļiem paredzētu sistēmu, sastāvdaļu un atsevišķu tehnisku vienību apstiprināšanu un tirgus uzraudzību un ar ko groza Regulas (EK) Nr. 715/2007 un (EK) Nr. 595/2009 un atceļ Direktīvu 2007/46/EK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regulu (ES) Nr.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regulas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2018/858 (2018. gada 30. maijs) par mehānisko transportlīdzekļu un to piekabju, kā arī tādiem transportlīdzekļiem paredzētu sistēmu, sastāvdaļu un atsevišķu tehnisku vienību apstiprināšanu un tirgus uzraudzību un ar ko groza Regulas (EK) Nr. 715/2007 un (EK) Nr. 595/2009 un atceļ Direktīvu 2007/46/EK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regulu (ES) Nr.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7.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regulas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18.4. un 18.5.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punta "s"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punta "sb"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18.4. un 18.5.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36.b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36.a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36.a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36.a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36.a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36.a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36.a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36.a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36.a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36.a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36.a 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36.b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36.b panta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36.b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36.b panta 7.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SIA "Vides investīciju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sabiedrības līdzdalību MK noteikumu Nr. 701 grozījumu izstrādē, KEM nosūtīja informāciju un aicinājumu sniegt viedokli par līdzšinējo pieredzi atbalsta programmas izmantošanā un nepieciešamajiem grozījumiem, lai nodrošinātu aktīvāku interesi par konkursa ietvaros atbalstāmo aktivitāšu īstenošanu, šādām iesaistītajām pusēm — Satiksmes ministrijai, "Latvijas Pašvaldību savienībai", "Latvijas Lielo pilsētu asociācijai", "AUTO ASOCIĀCIJAI", "Bezizmešu mobilitātes atbalsta biedrībai", "Latvijas Elektroauto biedrībai", "Latvijas Darba devēju konfederācijai", "Latvijas Tirdzniecības un rūpniecības kamerai" un "Finanšu nozares asociācijai".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ierosinājumi tika saņemti attiecībā uz prasību mazināšanu projekta iesniedzējiem (t.sk. minimālā autoparka un iegādājamo transportlīdzekļu skaita samazināšana), administratīvā sloga samazināšanu, iespēju iesniegt vairākus pieteikumus un atbalsta intensitātes palielināšanu. Tāpat tiek rosināts atvieglot prasības attiecībā uz elektroenerģijas ražošanu un tās uzskaiti, paplašināt atbalstāmo transportlīdzekļu klāstu (t.sk. M3 kategorijas autobusus un specializēto tehniku), kā arī ieviest iespēju izmantot operatīvo līzingu. Pašvaldības uzsver nepieciešamību palielināt maksimāli pieejamo finansējumu, nodrošināt avansa maksājumus un pagarināt projektu īstenošanas termiņus.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ir izvērtējusi saņemtos priekslikumus, tos daļēji ņemot vērā un atbilstoši precizējot MK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"Vides investīciju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tiešās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tajā skaitā pašvaldību kapitālsabiedrības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Uzdevumus, kas saistīti ar atbalsta pieteikumu izskatīšanu, apstiprināšanu un finanšu instrumenta finansējuma piešķiršanu, kā arī par līgumu par projekta īstenošanu  sagatavošanu, noslēgšanu, grozīšanu un laušanu, projektu pārskatu pārbaudi un projektu īstenošanas kontroli turpinās veikt SIA "Vides investīciju fonds".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projektā plānotās aktivitātes tiks veicināta Nacionālajā attīstības plānā 2027.gadam šādu progresa indikatoru sasniegšana: [271] SEG emisiju intensitāte, [273] Gaisa piesārņojuma % samazinājums un [309] No AER saražotās enerģijas īpatsvars kopējā enerģijas galapatēriņā.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projekta iesniedzējs veic elektromobiļu, elektromobiļu uzlādes infrastruktūras un atjaunojamo energoresursu iekārtu iegādi un uzstādīšanu, līdz ar to veicinot bezemisiju mobilitātes attīstību, tādējādi mazinot gaisu piesārņojošo vielu emisijas, it īpaši pilsētās.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projekta iesniedzējs veic elektromobiļu, elektromobiļu uzlādes infrastruktūras un atjaunojamo energoresursu iekārtu iegādi un uzstādīšanu, tādējādi mazinot SEG emisijas.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25-TA-2357</w:t>
    </w:r>
    <w:r>
      <w:br/>
    </w:r>
    <w:r w:rsidR="00000000" w:rsidRPr="00000000" w:rsidDel="00000000">
      <w:rPr>
        <w:rtl w:val="0"/>
      </w:rPr>
      <w:t xml:space="preserve">Izdrukāts 30.07.2026. 00.20 - 1.0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25-TA-2357</w:t>
    </w:r>
    <w:r>
      <w:br/>
    </w:r>
    <w:r w:rsidR="00000000" w:rsidRPr="00000000" w:rsidDel="00000000">
      <w:rPr>
        <w:rtl w:val="0"/>
      </w:rPr>
      <w:t xml:space="preserve">Izdrukāts 30.07.2026. 00.20 - 1.0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anotācija_(ex_ante)_25-TA-2357.docx</dc:title>
</cp:coreProperties>
</file>

<file path=docProps/custom.xml><?xml version="1.0" encoding="utf-8"?>
<Properties xmlns="http://schemas.openxmlformats.org/officeDocument/2006/custom-properties" xmlns:vt="http://schemas.openxmlformats.org/officeDocument/2006/docPropsVTypes"/>
</file>