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15. maija noteikumos Nr. 339 "Noteikumi par ostu formalitātēm""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2012. gada 15. maija noteikumos Nr. 339 "Noteikumi par ostu formalitātēm"" (turpmāk – Noteikumu projekts) ir nepieciešams,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izpildītu no Eiropas Parlamenta un Padomes 2019. gada 20. jūnija Regulas (ES) 2019/1239, ar ko izveido Eiropas Jūras vienloga sistēmas vidi un ar ko atceļ Direktīvu 2010/65/ES (turpmāk – Regula (ES) 2019/1239), izrietošās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noteiktu 1965. gada Konvencijas par starptautiskās jūras satiksmes atvieglošanu prasībām piemērošanas (turpmāk – FAL konvencija)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precizētu Ministru kabineta 2012. gada 15. maija noteikumus Nr. 339 "Noteikumi par ostu formalitātēm" (turpmāk – Noteikumi Nr. 339) atbilstoši likuma "Grozījumi Jūrlietu pārvaldes un jūras drošības likumā" (pieņemts 30.04.2025.) ietekmei;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nodrošinātu pilnvērtīgus un visaptverošus kontroles pasākumus pašreizējo ģeopolitisko notikumu un pieaugoša plaša spektra hibrīda apdraudējuma apstākļos, stiprinātu un sistematizētu kuģošanas līdzekļiem noteikto ziņošanas pienākumus, veicinot kompetento iestāžu iespējas savlaicīgi un efektīvi nodrošināt riska izvērtējumu un tam pakārtotās pārbaužu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risinātu ministriju/iestāžu praksē identificētas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pamatmērķis ir noteikt ar kuģa piestāšanu ostā saistītajos ziņošanas pienākumos sniedzamo informāciju, kas ir saskaņā ar Regulu (ES) 2019/1239 un FAL konvenciju. Vienlaikus ar Noteikumu projektu tiek risinātas arī ministriju/iestāžu praksē identificētas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Noteikumu projekta regulējuma paredzēta Regulā (ES) 2019/1239 noteikto pienākumu izpildei. Regulā (ES) 2019/1239 noteikto pienākumu izpilde ir saistīta ne tikai ar šīs regulas piemērošanu no 2025. gada 15. augusta, bet arī ar praktiskas piemērošanas iespējas nodrošināšanu - atbilstošas funkcionalitātes izstrādi Starptautiskajā kravu loģistikas un ostu informācijas sistēmā (turpmāk -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22. oktobra paziņojums, kas iepazīstina ar Eiropas Jūras vienloga sistēmas vides (EMSWe) Daudzgadu īstenošanas plāna 2024. gada atjauninājumu (C/2024/6300), paredz, ka īstenošana starp dalībvalstīm netiks sinhronizēta un notiks orientējoši laikposmā, kas nepārsniedz 18 mēnešus, sākot no Regulas (ES) 2019/1239 piemērošanas dienas, kas noteikta 2025. gada 15. augustā. Latvijas gadījumā SKLOIS atbilstošas funkcionalitātes izstrāde notiks Eiropas Savienības kohēzijas politikas programmas 2021.–2027. gadam 1.3.1.1. pasākuma "IKT risinājumu un pakalpojumu attīstība un iespēju radīšana privātajam sektoram" projekta "Eiropas Jūras vienloga sistēmas EMSWe ieviešana" ietvaros (Ministru kabineta 2025. gada 26.marta rīkojums Nr.174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 Visu plānoto SKLOIS funkcionalitāti paredzēts ieviest līdz 2029. gada otrajai pusei. Projekta realizācija tiks dalīta posmos. Regulas (ES) 2019/1239 piemērošanai nepieciešamo būtiskāko SKLOIS funkcionalitāti, kas nepieciešama Noteikumu projekta prasību praktiskai izpildei SKLOIS, plānots izstrādāt līdz 2027. gada 31. decembrim, tādējādi Noteikumu projekta spēkā stāšanās datums ir noteikts 2028.gada 1.janvāris.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piemērošanas vienkāršību, izvairītos no palīgnormām, kas nodrošina pāreju uz jauno regulējumu, paredzēts, ka viss Noteikumu projekts stājas spēkā vienlaikus. Spēkā stāšanās diferencēšanu sarežģī arī spēkā esošo noteikumu uzbūve – noteikumu vienības vairumā ir saistītas ar paziņojamo informāciju, kas pilnībā būs samērojama tikai pēc SKLOIS sistēmas pilnveides pabeigšanas. Grozījumi, kas nav tieši saistīti ar SKLOIS sistēmas pilnveidi, ir redakcionāli, tehniski vai arī piemērojami jau šobrīd, pamatojoties uz augstāka juridiskā spēka normu pamata, piemēram, pamatojoties uz Konvencijas par starptautiskās jūras satiksmes atvieglošanu (FAL konvencija) pielikuma 2.3.5. standartu – izejot no ostas, nepieprasīt jaunu deklarāciju attiecībā uz kravu, kas tikusi deklarēta, ienākot ostā, un kas ir palikusi uz kuģa, iepretim spēkā esošo noteikumu 77.2. apakšpunkta prasībai. Papildus rīcība pārejas periodā līdz 2028. gada 1. janvārim ir aprakstīta arī tiesību akta 25-TA-1087 "Grozījumi Ministru kabineta 2020. gada 11. februāra noteikumos Nr. 92 "Starptautiskās kravu loģistikas un ostu informācijas sistēmas noteikumi""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339 nosaka ar kuģa piestāšanu ostā saistīto ziņošanas pienākumu izpildes kārtību. Ziņošanas pienākumi izriet no Eiropas Savienības tiesību aktiem un starptautiskajiem līgumiem, kā arī nacionālajām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20. jūnijā pieņemtā Regula (ES) 2019/1239 neskar ar kuģa piestāšanu ostā saistīto ziņošanas pienākumu izpildes kārtību vai pienākumu būtību, bet izveido vienotu Eiropas Jūras vienloga sistēmas vidi (EMSWe), kas ļauj visās ES dalībvalstīs vienādi un vienotā elektroniskā vidē izpildīt visus ziņošanas pienākumus, tajā skaitā nosakot saskaņotu sniedzamo datu elementu pilnu sarakstu, kas izriet no ziņošanas pienākumiem. Ar kuģa piestāšanu ostā saistīto ziņošanas pienākumu izpildē dalībvalsts turpmāk varēs prasīt tikai EMSWe datu kopā iekļautos datu elementus (informāciju), neskarot izņēmuma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339 nepieciešams precīzi identificēt ziņošanas pienākumus ar Regulas (ES) 2019/1239 apstiprinātajā EMSWe datu kopā iekļautajiem datu elementiem, kā arī saskaņot šos noteikumus ar FAL konvencijas aktuālajām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robežsardze) norāda, ka vairāku gadu ietvarā kompetentās iestādes kontroles un uzraudzības jomā ir konstatējušas problēmas attiecībā uz kuģošanas līdzekļu, it īpaši atpūtas kuģu,  uzraudzību Latvijas ostās un jahtklubos. Pašreiz informācija par kuģošanas līdzekļu ienākšanu vai iziešanu Latvijas ostās tiek saņemta ar Starptautisko kravu loģistikas un ostu informācijas sistēmas starpniecību vai izmantojot jebkurus citus pieejamos saziņas līdzekļus. Statistisko datu analīze liecina, ka  atpūtas kuģošanas līdzekļu kustības dati atspoguļo, ka ziņošanas gadījumi par ienākšanu vai iziešanu uz trešās valsts ostu ir ļoti zemi, lai gan Latvijas tiešā tuvumā atrodas trešo valstu ostas. No 2019.gada līdz 2025.gada 1.decembrim Valsts robežsardze ir saņēmusi informāciju par nepieciešamību nodrošināt robežpārbaudi 28 atpūtas kuģiem, kaut arī Valsts robežsardzes rīcībā ir apkopota informācija par vismaz 7300 gadījumiem, kad Latvijas ostās ienāk vai iziet atpūtas kuģi. Ievērojot, ka vairākums atpūtas kuģu nav aprīkoti ar Automātisko identificēšanas sistēmu (AIS), kuras nepieciešamība nav obligāta nelieliem kuģošanas līdzekļiem, faktiski ir ierobežotas iespējas nodrošināt patieso kuģošanas līdzekļu monitoringu Latvijas ostās. Minētie apstākļi rada iespēju izvairīties no nepieciešamām pārbaudes procedūrām, deklarējot, ka atpūtas kuģis ienāk vai iziet uz kādu no Eiropas Savienības dalībvalsti. Savlaicīga un pilnvērtīga informācijas saņemšana attiecībā uz atpūtas kuģu satiksmi ir svarīga, lai kompetentās iestādes savlaicīgi veiktu iekšējo riska novērtējumu kuģim, kurš paziņojis par savu plānoto ienākšanu vai iziešanu kādā no Latvijas ostām. Šāds riska novērtējums var tikt veikts tikai balstoties uz iesniegtās informācijas apjomu, iepriekšējo ostu apmeklējumu, iepriekš fiksētajiem pārkāpumiem, kas kopumā ļauj pieņemt objektīvu lēmumu par piemērojamo riska novērtējuma pakāpi valsts drošības, sabiedrības drošības un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risinātas arī ministriju/iestāžu praksē identificētas problēmas un ieviesti Jūrlietu pārvaldes un jūras drošības likuma ietekmes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(turpmāk - JPJDL) 41.</w:t>
      </w:r>
      <w:r w:rsidR="00000000" w:rsidRPr="00000000" w:rsidDel="00000000">
        <w:rPr>
          <w:vertAlign w:val="superscript"/>
          <w:rtl w:val="0"/>
        </w:rPr>
        <w:t xml:space="preserve">1</w:t>
      </w:r>
      <w:r w:rsidR="00000000" w:rsidRPr="00000000" w:rsidDel="00000000">
        <w:rPr>
          <w:rtl w:val="0"/>
        </w:rPr>
        <w:t xml:space="preserve"> panta pirmā daļa paplašina kuģa piestāšanas ostā ietvaru, papildus kuģa ienākšanai ostā un kuģa iziešanai no ostas, nosakot arī kuģa palikšanas jeb stāvēšanas laiku ostā. Visos šajos gadījumos kuģim var būt saistoši ziņošanas pienākumi. Tas atbilst arī Regulai (ES) 2019/1239.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Jūrlietu pārvaldes un jūras drošības likuma 35. panta otrā daļa arī precizē pilnvarojumu Ministru kabinetam noteikt kārtību, kas attiecās ne tikai uz kuģa pasažieru reģistrāciju, bet arī uz pasažieru kuģa visu esošo personu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339 1. punkts tiek precizēts atbilstoši problēmas aprakstā minētajam, nosakot, ka noteikumi nosaka kārtību, kādā notiek ar kuģa ienākšanu, kuģa stāvēšanu ostā un kuģa iziešanu no ostas saistīto ziņošanas pienākumu (turpmāk — ostu formalitātes) kārtošana un uz pasažieru kuģa esošo personu reģistrācija.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339 tiek lietoti termini "kravas transporta vienība", "kuģa un kuģa mijiedarbība", "Savienības muitas teritorija", "EORI numurs" un "kuģa maršruta valstu kodi". Šādi datu elementi nav iekļauti EMSWe datu kopā.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svītrots Noteikumu Nr. 339 2.8., 2.12., 2.17., 2.20. un 2.21. apakšpunkts, kuros atrunāti problēmas aprakstā minētie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ir izdarīti grozījumi starptautiskajos līgumos vai Eiropas Savienības tiesību aktos, uz kuriem ir izdarītas atsauces Noteikumos Nr. 339, kā arī daļa no tiem ir zaudējusi vai zaudēs spēku, aizstājot tos ar citiem.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2.13. apakšpunktā tiek izdarīta atsauce uz spēkā esošo Regulu (ES) 2016/399, kas aizstāja Regulu (EK) Nr. 562/2006;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2.16. apakšpunktā tiek izdarīta atsauce uz FAL konvencijas pielikuma 2. papildinājumu, kurā pēc grozījumiem FAL konvencijā ir ietvertas FAL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113. punktā tiek izdarīta atsauce uz FAL konvencijas pielikuma 2. nodaļas G apakšnodaļas prasībām, kura nosaka īpašus atvieglojumus kuģiem, kas ienāk ostās, lai nogādātu krastā slimus vai ievainotus apkalpes locekļus, pasažierus, jūrā izglābtas personas vai citas personas neatliekamās medicīniskās palīdzības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informatīvās atsauces uz Eiropas Savienības direktīvām 1. punkts tiek svītrots, jo 2025. gada 15. augustā Direktīva 2010/65/ES zaudēs spēku un tiks aizstāta ar Regulu (ES) 2019/1239;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informatīvās atsauces uz Eiropas Savienības direktīvām 7. un 9. punkts tiek svītrots, jo Direktīva 2007/71/EK un Direktīva (ES) 2015/2087 zaudēja spēku un tika aizstāta ar Direktīvu (ES) 2019/883.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2019/1239 paredz specifisku, EMSWe datu kopai un datu apritei raksturīgu jēdzienu lietošanu, uz kuriem būtu jāsniedz norādes, lai uzlabotu šī noteikumu projekta izpratni.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339 tiek papildināti ar 2.22. un 2.23. apakšpunktu, skaidrojot terminu "datu elements" un "EMSWe datu kopa".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3., 4., 5., 20. un 105. punkts ietver sevī norādi uz citos normatīvos aktos iekļautajām tiesību normām, kas var regulēt vai regulē ar kuģa piestāšanu ostā saistītos ziņošanas pienākumus un kontroles pasākumus. Bet minētās normas neaptver visus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panta pirmajā daļā minētos ziņošanas pienākumus, par kuriem citas jomas normatīvajos aktos arī varētu būt vai ir tiesiskais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konsekvenci, Noteikumi Nr. 339 tiek papildināti ar 5.</w:t>
      </w:r>
      <w:r w:rsidR="00000000" w:rsidRPr="00000000" w:rsidDel="00000000">
        <w:rPr>
          <w:vertAlign w:val="superscript"/>
          <w:rtl w:val="0"/>
        </w:rPr>
        <w:t xml:space="preserve">1</w:t>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un 5.</w:t>
      </w:r>
      <w:r w:rsidR="00000000" w:rsidRPr="00000000" w:rsidDel="00000000">
        <w:rPr>
          <w:vertAlign w:val="superscript"/>
          <w:rtl w:val="0"/>
        </w:rPr>
        <w:t xml:space="preserve">3</w:t>
      </w:r>
      <w:r w:rsidR="00000000" w:rsidRPr="00000000" w:rsidDel="00000000">
        <w:rPr>
          <w:rtl w:val="0"/>
        </w:rPr>
        <w:t xml:space="preserve"> punktu, attiecīgi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ziņošanu ostas vajadzībām papildus šiem noteikumiem regulē arī normatīvie akti ostas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ziņošanu statistikas nodrošināšanas vajadzībām par kravu un pasažieru jūras pārvadājumiem regulē normatīvie akti oficiālās statistikas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beramkravu kuģa drošu kraušanu saistīto ziņošanu regulē normatīvie akti beramkravu kuģu drošas kraušanas prasību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7. punkts ļauj kontroles iestādēm to darbību regulējošo normatīvo aktu ietvaros pieprasīt papildu informāciju kuģiem. Tajā pašā laikā Regulas (ES) 2019/1239 4. pants nosaka dalībvalstu rīcību tādas informācijas pieprasīšanai, kura nav iekļauta EMSWe datu kopā.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Noteikumu Nr. 339 tiek papildināts ar atsauci uz Regulas (ES) 2019/1239 4. panta priekšnosacījumiem, nosakot, ka šo noteikumu prasības neierobežo kontroles iestāžu tiesības citu to darbību regulējošo normatīvo aktu ietvaros pieprasīt papildu informāciju un pārbaudīt kuģus un personas, pamatojoties uz valsts iekšējās drošības vai nelegālās imigrācijas draudu analīzes rezultātiem, kā arī sabiedriskās kārtības vai sabiedrības veselības nodrošināšanas apsvērumiem.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(Valsts robežsardzes) vērtējumā ņemot vērā pašreizējo ģeopolitisko notikumu un pieaugošo plaša spektra hibrīda apdraudējuma apstākļos aktuālo problemātiku Latvijas Republikas jūras robežas uzraudzībā, ar Noteikumu projektu ir nepieciešams nostiprināt uz kuģošanas līdzekļiem (arī mazajām atpūtas jahtām), kas ienāk ostās un jahtklubos, šķērsojot gan Eiropas Kopienas dalībvalstu ārējās robežas, gan Eiropas Kopienu dalībvalstu  iekšējās robežas, attiecināmos paziņošanas pienākumus. Lai stiprinātu kuģošanas līdzekļa saistošo ziņošanas pienākuma izpildes paredzamību, kā arī nodrošinātu informācijas sniegšanu vienā ziņošanas kanālā, tādējādi veicinot kompetento iestāžu iespējas savlaicīgi un efektīvi veikt nepieciešamās un tām piekritīgās pārbaužu procedūras, noteikumos Iekšlietu ministrija (Valsts robežsardze) paredz noteikt Starptautisko kravu loģistikas un ostu informācijas sistēmu (SKLOIS) kā vienīgo paziņojuma iesniegšanas kanālu. Cits paziņošanas kanāls būtu pieļaujams vien gadījumā, ja Starptautiskā kravu loģistikas un ostu informācijas sistēma (SKLOIS) ziņotājam nav pieejama tehnisku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ekspertu vērtējumā, esošo ģeopolitisko notikumu ietekmes rezultātā pret nacionālo drošību vērsto dažādu hibrīdo darbību radītā apdraudējuma intensitāte nepārprotami norāda uz nepieciešamību stiprināt un ieviest visaptverošus robežkontroles pasākumus, tostarp attiecinot tos arī uz visiem mazizmēra kuģiem, pamatojot papildus prasības ar nacionālās drošības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22. un 24.punkts nosaka, ka jahtu un atpūtas kuģu vadītāji, kuģa kapteiņi (atpūtas kuģa vadītāji) vai īpašnieki, vai to pilnvarotas personas (atpūtas kuģim – arī jahtklubs, kurā kuģis paredzējis piestāt) noteikumos paredzēto ziņošanu turpmāk varēs veikt tikai izmantojot Starptautisko kravu loģistikas un ostu informācijas sistēmu (SKLOIS). Kā izņēmums tiek norādīts gadījums, ja ziņotājam nav pieejami tehniski līdzekļi ziņošanai sistēmā (piemēram: interneta pārklājums, atbilstoša iekārta darbam interneta vidē). Vienlaicīgi tiek papildināts ziņojumā iesniedzamo datu apjoms, kas jāsniedz valsts drošības iestādēm, ar uz kuģa atrodošos fizisko personu valstspiederību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69.punkts nosaka, ka, ja uz kuģa, kas paredzējis ienākt Latvijas ostā, ienācis Latvijas ostā vai iziet no Latvijas ostas, ir persona, kas nokļuvusi un uzturas uz tā nelegāli, arī šajā gadījumā Starptautiskā kravu loģistikas un ostu informācijas sistēma (SKLOIS)  ir noteikta kā vienīgais ziņošanas kanāls, izņemot gadījumus, ja ziņotājam nav pieejami tehniski līdzekļi ziņošanai sistēmā. Prasība par Starptautisko kravu loģistikas un ostu informācijas sistēmu (SKLOIS) kā vienīgo ziņošanas kanālu, (izņemot gadījumus, ja ziņotājam nav pieejami tehniski līdzekļi ziņošanai sistēmā), attiecas arī uz Noteikumu 102.punktā noteikto ziņošanu saistībā ar pārbaudes procedūru speciālajām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339 nosaka ar kuģa piestāšanu ostā saistītos ziņošanas pienākumu kārtību, tostarp paziņojamo informāciju. Ziņošanas pienākumi izriet no Eiropas Savienības tiesību aktiem un starptautiskajiem līgumiem, kā arī nacionālajām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2019/1239 izveido Eiropas Jūras vienloga sistēmas vidi (EMSWe), nosakot saskaņotu datu elementu pilnu sarakstu, kas izriet no visiem ziņošanas pienākumiem. Pārskatāmībai tiek sniegta šī brīža salīdzinājuma tabula attiecībā uz ziņošanas pienākumiem, kas izriet no Eiropas Savienības tiesību aktiem un starptautiskajiem līgumiem.</w:t>
      </w:r>
    </w:p>
    <w:tbl>
      <w:tblPr>
        <w:tblStyle w:val="DefaultTable"/>
        <w:bidiVisual w:val="0"/>
        <w:tblW w:w="897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55"/>
        <w:gridCol w:w="2055"/>
        <w:gridCol w:w="3153"/>
        <w:gridCol w:w="4173"/>
        <w:tblGridChange w:id="0">
          <w:tblGrid>
            <w:gridCol w:w="2055"/>
            <w:gridCol w:w="2055"/>
            <w:gridCol w:w="3153"/>
            <w:gridCol w:w="417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Nacionālie normatīvie akti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2019/1239 1. pielikumā uzskaitītie ziņošanas pienākumi ar saskaņotu datu elementu pilnu sarakstu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Eiropas Savienības tiesību aktiem un starptautiskajiem līgumiem izrietošie ziņošanas pienākumi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Piezīmes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2.1. apakšnodaļa (paziņošana par kuģa ienākšanu ostā un iziešanu no tās (jūras kuģi ar bruto tilpību 300 un vairāk))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A1 – Paziņošana kuģiem, kuri ienāk dalībvalstu ostās un iziet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2002.gada 27.jūnija Direktīvas 2002/59/EK, ar ko izveido Kopienas kuģu satiksmes uzraudzības un informācijas sistēmu un atceļ Padomes Direktīvu 93/75/EEK,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2.2. apakšnodaļa (paziņošana Valsts robežsardzes, muitas iestādes un Pārtikas un veterinārā dienesta kontroles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nodaļa (ziņošana saskaņā ar FAL konvenciju) un 8. nodaļa (pārbaudes procedūras speciālās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A2 – Personu robežpārbaudes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FAL dokumenti un ziņošanas pienākumi, kas izriet no starptautiskiem juridiskiem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9. marta Regula (ES) 2016/399 par Savienības Kodeksu par noteikumiem, kas reglamentē personu pārvietošanos pār robežām (Šengenas Robežu kodekss),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3. nodaļa (paziņošana par bīstamu un piesārņojošu kuģa kravu)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A3 – Paziņošana par bīstamām vai piesārņojošām kravām, ko pārvadā ar kuģi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2002.gada 27.jūnija Direktīvas 2002/59/EK, ar ko izveido Kopienas kuģu satiksmes uzraudzības un informācijas sistēmu un atceļ Padomes Direktīvu 93/75/EEK,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4. nodaļa (paziņošana par kuģa atkritumiem) un 1. pielikums (veidlapa)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A4.1 – Iepriekšējs paziņojums par atkritumiem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17. aprīļa Direktīvas (ES) 2019/883 par ostas atkritumu pieņemšanas iekārtām kuģu atkritumu nodošanai un ar ko groza Direktīvu 2010/65/ES un atceļ Direktīvu 2000/59/EK,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4. nodaļa (paziņošana par kuģa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22. marta noteikumu Nr. 193 "Kuģu atkritumu pieņemšanas kārtība un kuģu atkritumu apsaimniekošanas plānu izstrādes kārtība" VI. nodaļa un 1. pielikums (veidlapa)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A4.2 – Atkritumu nodošanas kvīts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17. aprīļa Direktīvas (ES) 2019/883 par ostas atkritumu pieņemšanas iekārtām kuģu atkritumu nodošanai un ar ko groza Direktīvu 2010/65/ES un atceļ Direktīvu 2000/59/EK,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5. nodaļa (kuģa pirmsienākšanas aizsardzības informācijas iesniegšana) un 2. pielikums (veidlapa)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A5 – Drošības informācija pirms kuģu ienākšanas ostā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2004. gada 31. marta Regulas (EK) Nr. 725/2004 par kuģu un ostas iekārtu drošības pastiprināšanu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(EK) Nr. 725/2004 6. pantā prasītos datu elementus nosūta, izmantojot Regulas (ES) 2019/1239 pielikuma papildinājumā iekļauto veidlapu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9.</w:t>
            </w:r>
            <w:r w:rsidR="00000000" w:rsidRPr="00000000" w:rsidDel="00000000">
              <w:rPr>
                <w:sz w:val="24"/>
                <w:vertAlign w:val="superscript"/>
                <w:rtl w:val="0"/>
              </w:rPr>
              <w:t xml:space="preserve">1</w:t>
            </w:r>
            <w:r w:rsidR="00000000" w:rsidRPr="00000000" w:rsidDel="00000000">
              <w:rPr>
                <w:sz w:val="24"/>
                <w:rtl w:val="0"/>
              </w:rPr>
              <w:t xml:space="preserve"> nodaļa (paziņošana par personām uz pasažieru kuģa cilvēku meklēšanas un glābšanas nolūkiem)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A6.1 – Uz pasažieru kuģiem esošo personu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1998.gada 18.jūnija Direktīvas 98/41/EK par to personu reģistrāciju, kas atrodas uz pasažieru kuģiem, kuri kursē uz Kopienas dalībvalstu ostām vai no tām,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9.</w:t>
            </w:r>
            <w:r w:rsidR="00000000" w:rsidRPr="00000000" w:rsidDel="00000000">
              <w:rPr>
                <w:sz w:val="24"/>
                <w:vertAlign w:val="superscript"/>
                <w:rtl w:val="0"/>
              </w:rPr>
              <w:t xml:space="preserve">1</w:t>
            </w:r>
            <w:r w:rsidR="00000000" w:rsidRPr="00000000" w:rsidDel="00000000">
              <w:rPr>
                <w:sz w:val="24"/>
                <w:rtl w:val="0"/>
              </w:rPr>
              <w:t xml:space="preserve"> nodaļa (paziņošana par personām uz pasažieru kuģa cilvēku meklēšanas un glābšanas nolūkiem)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A6.2 – Informācija par pasažieriem, kuri ir uz pasažieru kuģiem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1998.gada 18.jūnija Direktīvas 98/41/EK par to personu reģistrāciju, kas atrodas uz pasažieru kuģiem, kuri kursē uz Kopienas dalībvalstu ostām vai no tām,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2. nodaļa (paziņošana par kuģa ienākšanu ostā un iziešanu no tās)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A7.1 – Paziņojums par ienākšanu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133.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Regulas (ES) Nr. 952/2013 133. pantu šobrīd muitas dienesti izmanto Starptautiskajā kravu loģistikas un ostu informācijas sistēmā (SKLOIS) ievadīto paziņojumu par kuģa ienākšanu ostā un iziešanu no tās.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9. nodaļas (muitas kontroles speciālās prasības) 107.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A7.2 – Preču uzrādīšana muitai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139.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muitas dienesti izmanto SKLOIS specifiski izveidotu iesniegumu preču un tukšo konteineru izkraušanas atļaujas saņemšanai. EMSWe datu kopā iekļaujamo datu elementu paziņošanas un  saskaņošanas procesā tika atzīts, ka iepriekš minētais iesniegums pēc būtības ir preču uzrādīšana muitai un turpmāk nav atsevišķi izdalāms. Preču uzrādīšana muitai nesaturēs informāciju par tukšo konteineru izkraušanu.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A7.3 – Preču pagaidu uzglabāšanas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145.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ziņošanas pienākuma izpildes iespējamība Starptautiskajā kravu loģistikas un ostu informācijas sistēmā (SKLOIS) tiks ieviesta, izveidojot valsts jūras vienloga sistēmu (MNSW), kas darbosies Eiropas Jūras vienloga sistēmas vidē (EMSWe).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A7.4 – Preču muitas statuss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153. – 155.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ziņošanas pienākuma izpildes iespējamība Starptautiskajā kravu loģistikas un ostu informācijas sistēmā (SKLOIS) tiks ieviesta, izveidojot valsts jūras vienloga sistēmu (MNSW), kas darbosies Eiropas Jūras vienloga sistēmas vidē (EMSWe).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A7.5 – Elektroniskie pārvadājuma dokumenti, ko izmanto tranzītam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233. panta 4.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ziņošanas pienākuma izpildes iespējamība Starptautiskajā kravu loģistikas un ostu informācijas sistēmā (SKLOIS) tiks ieviesta, izveidojot valsts jūras vienloga sistēmu (MNSW), kas darbosies Eiropas Jūras vienloga sistēmas vidē (EMSWe).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9. nodaļas (muitas kontroles speciālās prasības) 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A7.6 – Paziņojums par izvešanu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267.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muitas dienesti izmanto SKLOIS specifiski izveidotu iesniegumu preču iekraušanas atļaujas saņemšanai.  EMSWe datu kopā iekļaujamo datu elementu paziņošanas un  saskaņošanas procesā tika atzīts, ka iepriekš minētais iesniegums pēc būtības ir paziņojums par izvešanu un turpmāk nav izdalāms.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A7.7 – Izvešanas kopsavilkuma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271. – 272.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ziņošanas pienākuma izpildes iespējamība Starptautiskajā kravu loģistikas un ostu informācijas sistēmā (SKLOIS) tiks ieviesta, izveidojot valsts jūras vienloga sistēmu (MNSW), kas darbosies Eiropas Jūras vienloga sistēmas vidē (EMSWe).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A7.8 – Reeksporta paziņojumi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Regulas (ES) Nr. 952/2013, ar ko izveido Savienības Muitas kodeksu, 274. – 275.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ziņošanas pienākuma izpildes iespējamība Starptautiskajā kravu loģistikas un ostu informācijas sistēmā (SKLOIS) tiks ieviesta, izveidojot valsts jūras vienloga sistēmu (MNSW), kas darbosies Eiropas Jūras vienloga sistēmas vidē (EMSWe).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2006. gada 14. februāra noteikumu Nr. 143 "Beramkravu kuģu drošas kraušanas noteikumi" III. nodaļa un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A8 – Beramkravu kuģu droša iekraušana un izkraušana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2001. gada 4. decembra Direktīvas 2001/96/EK, kas nosaka harmonizētas prasības un procedūras beramkravu kuģu iekraušanai un izkraušanai, 7. panta 1.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2009.gada 23.aprīļa Direktīvas 2009/16/EK par ostas valsts kontroli (pārstrādāta versija)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ziņošanas pienākuma izpildes iespējamība Starptautiskajā kravu loģistikas un ostu informācijas sistēmā (SKLOIS) tiks ieviesta, izveidojot valsts jūras vienloga sistēmu (MNSW), kas darbosies Eiropas Jūras vienloga sistēmas vidē (EMSWe).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21. decembra noteikumi Nr. 1164 "Ostas valsts kontroles kārtība" V. nodaļa un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A9 – Paziņojums par tāda kuģu ienākšanu, kuram jāveic paplašināta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2009.gada 23.aprīļa Direktīvas 2009/16/EK par ostas valsts kontroli (pārstrādāta versija) 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27. novembra Direktīva (ES) 2024/3099, ar ko groza Direktīvu 2009/16/EK par ostas valsts kontroli atceļ šo ziņošanas pienākumu. Direktīva (ES) 2024/3099 transponējama līdz 2027. gada 6. jūlijam.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A10 – Jūras transporta statistika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2009. gada 6. maija Direktīvas 2009/42/EK par statistikas pārskatiem attiecībā uz kravu un pasažieru pārvadājumiem pa jūru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Direktīvas 2009/42/EK 3. panta 3. punktu datu vākšanu veic, cik vien iespējams, izmantojot pieejamus avotus un ierobežojot respondentu pienākumu apjomu. Šobrīd statistikas dati tiek iegūti balstoties uz esošajiem datiem citu ziņošanas pienākumu izpildē, tostarp Starptautiskajā kravu loģistikas un ostu informācijas sistēmā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ziņošanas pienākuma izpildes iespējamība Starptautiskajā kravu loģistikas un ostu informācijas sistēmā (SKLOIS) tiks ieviesta, izveidojot valsts jūras vienloga sistēmu (MNSW), kas darbosies Eiropas Jūras vienloga sistēmas vidē (EMSWe).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nodaļa (ziņošana saskaņā ar FAL konvenciju)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B1 – FAL 1: vispārīgā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https://www.vestnesis.lv/op/2024/74.2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nodaļa (ziņošana saskaņā ar FAL konvenciju)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B2 – FAL 2: kravas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https://www.vestnesis.lv/op/2024/74.2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nodaļa (ziņošana saskaņā ar FAL konvenciju)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B3 – FAL 3: kuģa krājumu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https://www.vestnesis.lv/op/2024/74.2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nodaļa (ziņošana saskaņā ar FAL konvenciju)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B4 – FAL 4: apkalpes locekļu personisko mantu un preču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https://www.vestnesis.lv/op/2024/74.2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Nr.339 2.2.apakšnodaļa (Paziņošana Valsts robežsardzes, muitas iestādes un Pārtikas un veterinārā dienesta kontroles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nodaļa (ziņošana saskaņā ar FAL konvenciju)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B5 – FAL 5: apkalpes locekļu saraksts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https://www.vestnesis.lv/op/2024/74.2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Nr.339 2.2.apakšnodaļa (Paziņošana Valsts robežsardzes, muitas iestādes un Pārtikas un veterinārā dienesta kontroles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nodaļa (ziņošana saskaņā ar FAL konvenciju)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B6 – FAL 6: pasažieru saraksts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https://www.vestnesis.lv/op/2024/74.2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B7 – FAL 7: bīstamo kravu deklarācija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2. papildinājums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Ziņošanas pienākuma izpilde netiek prasīta, aizstājot to ar Noteikumu Nr. 339 3. nodaļā noteikto ziņošanas pienākumu (paziņošana par bīstamu un piesārņojošu kuģa kravu)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 nodaļa (ziņošana saskaņā ar FAL konvenciju)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16. novembra noteikumu Nr. 1050 "Sabiedrības veselības aizsardzības pasākumu veikšanas kārtība" 17.3.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B8 – jūras sanitārā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Standarts Nr.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6. nodaļa (paziņošana par personām, kas nokļuvušas un uzturas uz kuģa nelegāli)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FAL konvencijas pielikuma Standarts 4.6.1., Ieteicamā prakse Nr. 4.6.2. un 3. papildinājuma veidlapa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2018. gada 20. februāra noteikumi Nr. 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"Nozvejoto zivju izkraušanas kontroles un zivju tirdzniecības un transporta objektu, noliktavu un ražošanas telpu pārbaudes noteikumi" un Ministru kabineta 2007.gada 2.maija noteikumi Nr. 296 "Noteikumi par rūpniecisko zveju teritoriālajos ūdeņos un ekonomiskās zonas ūdeņos"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2008. gada 29. septembra Regula (EK) Nr. 1005/2008, ar ko izveido Kopienas sistēmu, lai aizkavētu, novērstu un izskaustu nelegālu, nereģistrētu un neregulētu zveju, un ar ko groza Regulas (EEK) Nr. 2847/93, (EK) Nr. 1936/2001 un (EK) Nr. 601/2004, un ar ko atceļ Regulas (EK) Nr. 1093/94 un (EK) Nr. 1447/1999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75. un 78.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kuģa piestāšanu ostā saistīto ziņošanas pienākumu izpildē dalībvalsts turpmāk varēs prasīt tikai EMSWe datu kopā iekļautos datu elementus (informāciju), neskarot izņēmuma apstākļus un neatkarīgi no tā, vai ziņošanas pienākums izriet no Eiropas Savienības tiesību aktiem un starptautiskajiem līgumiem vai nacionālajiem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Skaidrībai un iespējamo pretrunu novēršanai Noteikumos Nr. 339 ziņot prasītā informācija būtu identificējama ar Regulas (ES) 2019/1239 apstiprinātajā EMSWe datu kopā iekļautajiem datu elementiem.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9., 22., 24., 34., 46., 56.</w:t>
      </w:r>
      <w:r w:rsidR="00000000" w:rsidRPr="00000000" w:rsidDel="00000000">
        <w:rPr>
          <w:vertAlign w:val="superscript"/>
          <w:rtl w:val="0"/>
        </w:rPr>
        <w:t xml:space="preserve">1</w:t>
      </w:r>
      <w:r w:rsidR="00000000" w:rsidRPr="00000000" w:rsidDel="00000000">
        <w:rPr>
          <w:rtl w:val="0"/>
        </w:rPr>
        <w:t xml:space="preserve">, 58., 69., 72., 75., 77., 78., 90., 102., 106., 110.</w:t>
      </w:r>
      <w:r w:rsidR="00000000" w:rsidRPr="00000000" w:rsidDel="00000000">
        <w:rPr>
          <w:vertAlign w:val="superscript"/>
          <w:rtl w:val="0"/>
        </w:rPr>
        <w:t xml:space="preserve">3</w:t>
      </w:r>
      <w:r w:rsidR="00000000" w:rsidRPr="00000000" w:rsidDel="00000000">
        <w:rPr>
          <w:rtl w:val="0"/>
        </w:rPr>
        <w:t xml:space="preserve"> un 110.</w:t>
      </w:r>
      <w:r w:rsidR="00000000" w:rsidRPr="00000000" w:rsidDel="00000000">
        <w:rPr>
          <w:vertAlign w:val="superscript"/>
          <w:rtl w:val="0"/>
        </w:rPr>
        <w:t xml:space="preserve">4</w:t>
      </w:r>
      <w:r w:rsidR="00000000" w:rsidRPr="00000000" w:rsidDel="00000000">
        <w:rPr>
          <w:rtl w:val="0"/>
        </w:rPr>
        <w:t xml:space="preserve"> punktā noteiktā paziņojamā informācija tiek identificēta ar Regulas (ES) 2019/1239 apstiprinātajā EMSWe datu kopā iekļautajiem datu elementiem, izdarot atsauces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339: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 22. un 24. punktā vairs netiek paredzēta ziņošana par piestātni (ja zināma), pie kuras kuģis paredzējis piestāt un piestātni (ja zināma), no kuras kuģis paredzējis iziet no ostas. Šī ir nacionāla prasība, kuras izpildei līdz šim tika uzturēts speciāls piestātņu klasifikators, lai nodrošinātu datu kvalitāti. Atbilstošās EMSWe datu kopas datu elementa "Plānotā pirmā atrašanās vieta" un "Plānotā pēdējā atrašanās vieta piestāšanas ostā" formāts un izstrādes tehniskā dokumentācija liecina, ka tas turpmāk būs neobligāts un brīvas ievades lauks. Balstoties uz sistēmas uzturēšanas praksi un šī datu elementa pielietojamību, nav lietderīgi uzturēt šī datu elementa ievades prasību. Kuģa atrašanās vieta ostā ir identificējama kontroles iestāžu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34.1., 34.2., 34.3. un  34.4. apakšpunktā tiek izdalīti datu elementi, uz kuriem tāpat kā līdz šim nepieciešams atrunāt Direktīvas 2002/59/EK 13. pantā noteiktos paziņošanas nosacījumus. EMSWe datu kopā iekļauto datu elementu apraksts šos nosacījumus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58. punktā tiek aizstāta atsauce uz šo noteikumu 2. pielikumu ar atsauci uz Regulas (ES) 2019/1239 1. pielikuma papildinājumā noteikto kuģa pirmsienākšanas aizsardzības informāciju. Šobrīd kuģa pirmsienākšanas aizsardzības informācija (veidlapa) ir noteikta šo noteikumu 2. pielikumā, ieviešot Direktīvas 2010/65/ES prasības. Direktīva 2010/65/ES saturēja kuģa pirmsienākšanas aizsardzības informāciju (veidlapu). No 2025. gada 15. augusta Regula (ES) 2019/1239 atceļ direktīvu 2010/65/ES, un kuģa pirmsienākšanas aizsardzības informācija (veidlapa) turpmāk tiek apstiprināta šīs regulas 1. pielikuma papildinājumā. Ņemot vērā Regulas (ES) 2019/1239 tiešu piemērošanu, kuģa pirmsienākšanas aizsardzības informācijas (veidlapas) apstiprināšana šajos noteikumos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grozījumus Noteikumu Nr. 339 9., 22., 58. un 72. punktā tiek atbilstoši precizēts šo noteikumu 12., 22. un 61. punkts, kā arī svītrots 79.</w:t>
      </w:r>
      <w:r w:rsidR="00000000" w:rsidRPr="00000000" w:rsidDel="00000000">
        <w:rPr>
          <w:vertAlign w:val="superscript"/>
          <w:rtl w:val="0"/>
        </w:rPr>
        <w:t xml:space="preserve">1</w:t>
      </w:r>
      <w:r w:rsidR="00000000" w:rsidRPr="00000000" w:rsidDel="00000000">
        <w:rPr>
          <w:rtl w:val="0"/>
        </w:rPr>
        <w:t xml:space="preserve"> punkts, jo tajos ir atsauce uz grozītajām noteikumu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FAL konvencijas pielikuma grozījumiem, kas pieņemti 2022. gadā (Rezolūcija FAL.14(46)) un stājās spēkā 2024. gada 1. janvārī, šīs konvencijas pielikuma Standarts Nr. 2.1.</w:t>
      </w:r>
      <w:r w:rsidR="00000000" w:rsidRPr="00000000" w:rsidDel="00000000">
        <w:rPr>
          <w:i w:val="1"/>
          <w:rtl w:val="0"/>
        </w:rPr>
        <w:t xml:space="preserve">bis</w:t>
      </w:r>
      <w:r w:rsidR="00000000" w:rsidRPr="00000000" w:rsidDel="00000000">
        <w:rPr>
          <w:rtl w:val="0"/>
        </w:rPr>
        <w:t xml:space="preserve"> nosaka, ka attiecībā uz Standarta Nr. 2.1. a), b), c), d) un g) punktā minētajām deklarācijām valsts iestādes nedrīkst pieprasīt neko vairāk kā informāciju, kas norādīta šīs konvencijas pielikuma 1. papildinājumā. Starp minētajām deklarācijām ir arī kravas deklarācija (FAL 2. veidlapa).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339. 72.2. un 77.2. apakšpunkts pieprasa iesniegt specifisku kuģa manifestu, kas pārsniedz kravas deklarācijas (FAL 2. veidlapa) uzskaitīto informācijas apjomu, kā arī neatbilst FAL konvencijas pielikuma Standarta Nr. 2.3.5 noteikumam par to, ka izejot no ostas, nedrīkst pieprasīt jaunu kravas deklarāciju attiecībā uz kravu, kas tikusi deklarēta, ienākot ostā, un kas ir palikusi uz kuģa. Šobrīd tiek prasīta informāciju par visu kravu, kas atrodas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būtiska ir arī FAL konvencijas pielikuma Standarta Nr. 2.3.2 piemērojamā prasība attiecībā uz kuģī palikušo kravu - valsts iestādes pieprasa sniegt tikai īsu pārskatu par minimālās informācijas būtiskajiem datiem. Piemēram, īss preču apraksts, to daudzums un, ja nepieciešams, nokraušanas osta.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Nr.339. 72.2. un 77.2. apakšpunkti tiek precizēti, aizstājot kuģa manifestu ar kravas deklarāciju (FAL 2. veidlapa) un nosakot, ka kuģim izejot no ostas kravas deklarācija (FAL 2. veidlapa) nav jāsniedz par kravu, kas tikusi deklarēta, kuģim ienākot ostā, kā krava, kas paliek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Iepretim Noteikumu Nr. 339 92. punktā noteiktajai prasībai, izmantot FAL konvencijas pielikumā ietvertās standartveidlapas (apkalpes saraksts – FAL 5. veidlapa, pasažieru saraksts – FAL 6. veidlapa), Regula (ES) 2016/399 (Šengenas Robežu kodekss) neizvirza striktas prasības attiecībā uz minēto veidlapu formu izmantošanu. Pārbaudes procedūras veikšanai būtiska ir dokumentos ietvertās informācijas pieejamība, nevis dokumenta forma.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tiesību normu piemērošanu praksē, Noteikumu 92. punkts tiek precizēts, nosakot, ka uz kuģa, kuram tiek veikta pārbaudes procedūra, ir aizpildītas FAL 5. un FAL 6. veidlapas vai saraksts, kurā iekļauta šajās veidlapās aizpildāmā informācija. Šī pieeja nodrošina atbilstību pārbaudes procedūras vajadzībām un ir elastīgāka attiecībā uz prasībām kuģim. Tāpat precizēta prasība attiecībā uz apkalpes un pasažieru dokumentiem, paredzot, ka papildu derīgiem ceļošanas dokumentiem personām jābūt arī derīgiem uzturēšanās tiesības apliecinošiem dokumentiem. Ceļošanas dokuments ne vienmēr ir pietiekams apliecinājums personas tiesībām ieceļot un uzturēties iecerēto laiku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2019/1239 3. panta 2. punktu, paziņojot Eiropas Komisijai jebkādus ziņošanas pienākumus, kas izriet no nacionālajiem tiesību aktiem un prasībām, tika paziņots par Noteikumu Nr. 339 107. un 108. punktā noteikto iesniegumu preču un tukšo konteineru izkraušanas atļaujas saņemšanai un iesniegumu preču iekraušanas atļaujas saņemšanai. Saskaņošanas procesā tika atzīts, ka šie iesniegumi pēc būtības atbilst ziņošanas pienākumam "A7.2 – Preču uzrādīšana muitai" un "A7.6 – Paziņojums par izvešanu", kuri ir ietverti EMSWe datu kopā un kuriem ir noteikti paziņojamie datu elementi, kas izriet no šiem ziņošanas pienākumiem.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339 107. un 108. punkts par iesniegumu preču un tukšo konteineru izkraušanas atļaujas saņemšanai un iesniegumu preču iekraušanas atļaujas saņemšanai tiek svītrots. Šo  noteikumu 106. punktā tiek noteikts, ka SKLOIS nodrošina EMSWe datu kopas ziņošanas pienākuma "A7.2 – Preču uzrādīšana muitai" un "A7.6 – Paziņojums par izvešanu" datu elementu paziņošanas iespēju. Pēc EMSWe datu kopas ziņošanas pienākuma "A7.2 – Preču uzrādīšana muitai" un "A7.6 – Paziņojums par izvešanu" datu elementu saņemšanas SKLOIS nodrošinās datu elementu nosūtīšanu muitas dienestu informācijas sistēmai. Lēmuma pieņemšana un sniegšana adresātam tiks nodrošināta muitas dienestu informācijas sistēmā, SKLOIS nodrošinās atbildes sniegšanu par ostas un kuģošanas kompetences ziņojumiem, kā arī atbildes par veiksmīgu datu piegādi muitas sistēmai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339 108.</w:t>
      </w:r>
      <w:r w:rsidR="00000000" w:rsidRPr="00000000" w:rsidDel="00000000">
        <w:rPr>
          <w:vertAlign w:val="superscript"/>
          <w:rtl w:val="0"/>
        </w:rPr>
        <w:t xml:space="preserve">1</w:t>
      </w:r>
      <w:r w:rsidR="00000000" w:rsidRPr="00000000" w:rsidDel="00000000">
        <w:rPr>
          <w:rtl w:val="0"/>
        </w:rPr>
        <w:t xml:space="preserve">, 108.</w:t>
      </w:r>
      <w:r w:rsidR="00000000" w:rsidRPr="00000000" w:rsidDel="00000000">
        <w:rPr>
          <w:vertAlign w:val="superscript"/>
          <w:rtl w:val="0"/>
        </w:rPr>
        <w:t xml:space="preserve">2</w:t>
      </w:r>
      <w:r w:rsidR="00000000" w:rsidRPr="00000000" w:rsidDel="00000000">
        <w:rPr>
          <w:rtl w:val="0"/>
        </w:rPr>
        <w:t xml:space="preserve"> un  108.</w:t>
      </w:r>
      <w:r w:rsidR="00000000" w:rsidRPr="00000000" w:rsidDel="00000000">
        <w:rPr>
          <w:vertAlign w:val="superscript"/>
          <w:rtl w:val="0"/>
        </w:rPr>
        <w:t xml:space="preserve">3</w:t>
      </w:r>
      <w:r w:rsidR="00000000" w:rsidRPr="00000000" w:rsidDel="00000000">
        <w:rPr>
          <w:rtl w:val="0"/>
        </w:rPr>
        <w:t xml:space="preserve"> punkti ir neatrauti saistīts ar svītroto šo noteikumu 107. un 108. punktu, tiek svītroti arī šie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339 109. un 110. punkts, kurš atrunā muitas kontroles pasākumus, tiek precizēts, kontroles pasākumus turpmāk sasaistot ar šo noteikumu 106. punktā noteiktajiem ziņošanas pienākumiem, kuru izpilde tiks nodrošināta SKLOIS.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339 110.</w:t>
      </w:r>
      <w:r w:rsidR="00000000" w:rsidRPr="00000000" w:rsidDel="00000000">
        <w:rPr>
          <w:vertAlign w:val="superscript"/>
          <w:rtl w:val="0"/>
        </w:rPr>
        <w:t xml:space="preserve">7</w:t>
      </w:r>
      <w:r w:rsidR="00000000" w:rsidRPr="00000000" w:rsidDel="00000000">
        <w:rPr>
          <w:rtl w:val="0"/>
        </w:rPr>
        <w:t xml:space="preserve"> punkts nosaka kuģošanas kompānijas pienākumu paziņot par to, ka pasažieru kuģa reiss ir droši noslēdzies, reisa laikā ir radusies ārkārtas situācija vai noticis negadījums vai, ka ir pabeigtas visas ar ārkārtas situāciju vai negadījumu saistītās izmeklēšanas vai tiesvedības. Šāds paziņošanas pienākums ir saistīts ar deklarēto personas datu dzēšanas kārtību, kas noteikta Ministru kabineta 2020. gada 11. februāra noteikumu Nr. 92 "Starptautiskās kravu loģistikas un ostu informācijas sistēmas noteikumi" (turpmāk – Noteikumi Nr. 92) 11. punktā. Ar Regulu (ES) 2019/1239 noteiktajā datu elementu sarakstā nav noteikti atbilstoši datu elementi. Tas nozīmē, ka šī ziņošana turpmāk netiks saistīta ar kuģošanas kompāniju, bet Direktīvā 98/41/EK noteiktajai datu dzēšanas kārtībai iepriekš minētā informācija ir būtiska.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339 110.</w:t>
      </w:r>
      <w:r w:rsidR="00000000" w:rsidRPr="00000000" w:rsidDel="00000000">
        <w:rPr>
          <w:vertAlign w:val="superscript"/>
          <w:rtl w:val="0"/>
        </w:rPr>
        <w:t xml:space="preserve">7</w:t>
      </w:r>
      <w:r w:rsidR="00000000" w:rsidRPr="00000000" w:rsidDel="00000000">
        <w:rPr>
          <w:rtl w:val="0"/>
        </w:rPr>
        <w:t xml:space="preserve"> punkts tiek precizēts, nosakot, ka turpmāk Nacionālo bruņoto spēku Jūras spēku Krasta apsardzes dienests (tiklīdz tā rīcībā ir atbilstoša informācija) nodrošina, lai SKLOIS tiktu paziņots par to, ka pasažieru kuģa reiss ir droši noslēdzies, reisa laikā ir radusies ārkārtas situācija vai noticis negadījums vai, ka ir pabeigtas visas ar ārkārtas situāciju vai negadījumu saistītās izmeklēšanas vai tiesvedības.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paredzēta, pamatojoties uz Nacionālo bruņoto spēku Jūras spēku Krasta apsardzes dienesta kompetenci koordinēt un veikt cilvēku meklēšanas un glābšanas darbus jūrā atbilstoši 1979. gada Starptautiskajai konvencijai par meklēšanu un glābšanu jūrā (SAR konvencija). No Direktīvas 98/41/EK izrietošā un Noteikumu Nr. 339 9.</w:t>
      </w:r>
      <w:r w:rsidR="00000000" w:rsidRPr="00000000" w:rsidDel="00000000">
        <w:rPr>
          <w:vertAlign w:val="superscript"/>
          <w:rtl w:val="0"/>
        </w:rPr>
        <w:t xml:space="preserve">1</w:t>
      </w:r>
      <w:r w:rsidR="00000000" w:rsidRPr="00000000" w:rsidDel="00000000">
        <w:rPr>
          <w:rtl w:val="0"/>
        </w:rPr>
        <w:t xml:space="preserve">  nodaļā pārņemtā paziņošana par personām uz pasažieru kuģa cilvēku meklēšanas un glābšanas nolūkiem ir cieši saistīta ar iepriekš minēto SAR konvenciju.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FAL konvencijas pielikuma 7.8. standarts nosaka ārkārtas situācijas gadījumus un pienākumu kuģiem, kuri sniedz palīdzību, atvieglot formalitāšu kārtošanu. Noteikumu Nr. 339 111. punkts neaptver visus ārkārtas situācijas gadījumus.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339 111. punkts tiek precizēts, izdarot atsauci uz FAL konvencijas vienību, kurā noteikti ārkārtas situācijas gadījumi.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(Valsts robežsardzes) izteikto stingro pozīciju, ka pieaugošā ģeopolitiskā spriedze un plaša spektra hibrīda apdraudējumu apstākļi pie Latvijas jūras robežas rada nepieciešamību nostiprināt ne tikai robežpārbaudes kā tādas, bet arī tādu personu pārvietošanās uzraudzību, kuras šķērso jūras robežu. Iekšlietu ministrijas (Valsts robežsardzes) ekspertu vērtējumā esošā situācija prasa, lai kompetentajām iestādēm būtu iespēja veikt pārbaudes saistībā ar uzturēšanās un tranzīta nosacījumiem, ne tikai ieceļošanas un izceļošanas faktu. Lai nodrošinātu šo pārbaužu veikšanu, Ministru kabineta rīkojuma projektā ir paredzēts, ka Iekšlietu ministrija sagatavos un iesniegs grozījumus Jūrlietu pārvaldes un jūras drošības likuma 41.</w:t>
      </w:r>
      <w:r w:rsidR="00000000" w:rsidRPr="00000000" w:rsidDel="00000000">
        <w:rPr>
          <w:vertAlign w:val="superscript"/>
          <w:rtl w:val="0"/>
        </w:rPr>
        <w:t xml:space="preserve">1</w:t>
      </w:r>
      <w:r w:rsidR="00000000" w:rsidRPr="00000000" w:rsidDel="00000000">
        <w:rPr>
          <w:rtl w:val="0"/>
        </w:rPr>
        <w:t xml:space="preserve"> pantā, lai tieši noteiktu ziņošanu saistībā ar ieceļošanas, uzturēšanās, tranzīta un izceļošanas noteikumu kontroli kā atsevišķu ostu formalitāšu veidu Latvijā, kā arī attiecīgi paplašinātu Ministru kabinetam ietverto deleģējumu (pilnvarojumu). Saskaņā ar Ministru kabineta 2020.gada 22.septembra noteikumiem Nr.589 "Iekšlietu ministrijas nolikums" Iekšlietu ministrijas funkcijās ietilpst politikas izstrāde valsts robežas drošības jomā. Vienlaicīgi, Iekšlietu ministrijas rīcībā ir konkrēta, datos balstīta informācija par šāda deleģējuma paplašināšanas nepieciešamību un pamatotību, tādējādi, atbilstošo grozījumu izstrāde ietilpst Iekšlietu ministrijas kompetencē.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Atpūtas kuģu, jahtu un mazizmēra kuģu īpašnieki, valdītāji vai to pilnvarotas personas, vai kuģa kapteiņi.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kuģa aģentus vai kuģa kapteiņus, ja tie veic noteikumos paredzēto ziņošanu kā fiziskas personas. Grozījumi pielīdzina iepriekš sniegto ziņojumu skaitu, iesniegšanas gadījumus, datu kopas un datu elementus Regulas ( ES) 2019/1239 noteiktajiem ziņojumiem, iesniegšanas gadījumiem, EMSWe datu kopām un datu elementiem. Fiziskajām personām nebūs jāveic ziņojumu un datu transformācija, jo Regulas ( ES) 2019/1239 noteikto prasību izpilde tiks nodrošināta ar jauno SKLOIS funkcionalitāti.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tiks palielināts administratīvais slogs atsevišķai fizisko personu kategorijai  - atpūtas kuģu, jahtu un mazizmēra kuģu īpašniekiem, valdītājiem vai to pilnvarotām personām, un kapteiņiem (tiem, kas vada minēto kuģi konkrētajā piestāšanā ostā). Grozījumi paredz noteikt tikai vienu ziņošanas kanālu - sistēmu SKLOIS, kā arī iesniegt papildus informāciju par visu uz kuģa esošo personu valstspiederību. Līdz šim atpūtas kuģu, jahtu un mazizmēra kuģu īpašnieki un kapteiņi šo informāciju varēja sniegt, izvēloties jebkuru citu kanālu, un tas pārsvarā tika veikts telefoniski.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 kuģa aģentus vai kuģa kapteiņus, ja tie veic noteikumos paredzēto ziņošanu kā juridiskas personas. Grozījumi pielīdzina iepriekš sniegto ziņojumu skaitu, iesniegšanas gadījumus, datu kopas un datu elementus Regulas ( ES) 2019/1239 noteiktajiem ziņojumiem, iesniegšanas gadījumiem, EMSWe datu kopām un datu elementiem. Fiziskajām personām nebūs jāveic ziņojumu un datu transformācija, jo Regulas ( ES) 2019/1239 noteikto prasību izpilde tiks nodrošināta ar jauno SKLOIS funkcionalitāti, līdz ar to grozījumiem nav ietekmes uz juridisko personu administratīvo slogu.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Komisijas priekšlikumā Regulai (ES) 2019/1239 (Dokuments 52018PC0278): Vienkāršotā un saskaņotā ziņošana būs īpaši izdevīga maziem un vidējiem uzņēmumiem un mikrouzņēmumiem, kas proporcionāli ir neaizsargātāki pret neefektīvu pārvaldību un zaudētām personāla stundām.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Atpūtas kuģu, jahtu un mazizmēra kuģu īpašnieki, valdītāji vai to pilnvarotas personas, vai kuģa kapteiņi.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Laiks vienai ziņošanai SKLOIS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Fiziskās personas, kas veic ziņošanu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Piestāšanu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projekta 1.19. un 1.21. punktiem, SKLOIS tiek noteikta kā vienīgais un obligātais ziņošanas kanāls atpūtas kuģiem, jahtām vai mazizmēra kuģiem, ja uz tiem attiecas ziņošanas pienākums. Aprēķins balstīts uz šādiem datiem:
- laiks vienai jaunajai ziņošanai SKLOIS ir 20 minūtes. Datu avots: SKLOIS apkopotie statistikas dati vidēji vienai ziņošanai sistēmā patērētais lietotāju laiks ir 30 minūtes. Iepriekš pārsvarā telefoniski veicot ziņošanu tiek izdarīts pieņēmums, ka tas aizņēma 10.minūtes, tapēc tagad veidojas starpība starp iepriekš veltīto laiku un jauno laiku 30-10=20 minūtes. Palielinājums ir saistīts ar SKLOIS noteiktu un secīgu darbību izpildi: autentifikāciju, ziņojuma noteiktu datu lauku aizpildīšanu, datu pārbaudi un ziņojuma saglabāšanu un iesniegšanu. Telefoniski netika sniegta strukturēta informācija un netika aizpildītas noteiktas formas;
- piestāšanu skaits  ostās - 2 reizes. Datu avots: tiek izdarīts pieņēmums, ka katrs unikālais mazizmēra kuģis vai jahta Latvijas ostās piestāj vismaz divas reizes gadā;
- fizisko personu skaits, kas veic ziņošanu gada laikā ir 522 personas. Datu avots: Iekšlietu ministrijas 22.10.2025. atzinumā sniegtā informācija, ka no 2019. gada  konstatēti 7308 atpūtas kuģi, secīgi viena gada laikā vidēji 1044 kuģi. Ja katrs kuģis piestāj vismaz 2 reizes, tad  fizisko personu skaits, kas veic ziņošanu, ir 1044/2=522.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Atpūtas kuģu, jahtu un mazizmēra kuģu īpašnieki, valdītāji vai to pilnvarotas personas, vai kuģa kapteiņi.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samaksa par  laiku ziņošanai SKLOIS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522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Fiziskās personas, kas veic ziņošanu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Piestāšanu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4 269,96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projekta 1.19. un 1.21. punktiem, SKLOIS tiek noteikta kā vienīgais un obligātais ziņošanas kanāls atpūtas kuģiem, jahtām vai mazizmēra kuģiem, ja uz tiem attiecas ziņošanas pienākums. Aprēķins balstīts uz šādiem datiem:
- vidējā samaksa par laiku ziņošanai SKLOIS 6,14 euro. Datu avots: CSP rādītājs par vidējo samaksu par vienu nostrādāto stundu pirms nodokļu nomaksas ir 12,27 euro. Ja ziņošanai starpība 20 minūtes, tad vidējā samaksa ir 12,27/3=4,09 euro;
- piestāšanu skaits  ostās - 2 reizes. Datu avots: tiek izdarīts pieņēmums, ka katrs unikālais mazizmēra kuģis vai jahta Latvijas ostās piestāj vismaz divas reizes gadā;
- fizisko personu skaits, kas veic ziņošanu gada laikā ir 522 personas. Datu avots: Iekšlietu ministrijas 22.10.2025. atzinumā sniegtā informācija, ka no 2019. gada  konstatēti 7308 atpūtas kuģi, secīgi viena gada laikā vidēji 1044 kuģi. Ja katrs kuģis piestāj vismaz 2 reizes, tad  fizisko personu skaits, kas veic ziņošanu, ir 1044/2=522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4 269,96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atbilstošas funkcionalitātes izstrāde notiks Eiropas Savienības kohēzijas politikas programmas 2021.–2027. gadam 1.3.1.1. pasākuma "IKT risinājumu un pakalpojumu attīstība un iespēju radīšana privātajam sektoram" projekta "Eiropas Jūras vienloga sistēmas EMSWe ieviešana” ietvaros (Ministru kabineta 2025. gada 26. marta rīkojums Nr. 174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 SKLOIS atbilstošas funkcionalitātes izstrādes un uzturēšanas ietekmes uz valsts budžetu vērtējums sniegts iepriekš minētā rīkojuma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 gada 11. februāra noteikumi Nr. 92 "Starptautiskās kravu loģistikas un ostu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ziņošanas pienākumos, ir precizēts Starptautiskajā kravu loģistikas un ostu informācijas sistēmā iekļaujamās informācijas apjoms un piekļuves nosacījumi (Ministru kabineta 2025. gada 21. oktobra noteikumi Nr. 618 “Grozījumi Ministru kabineta 2020. gada 11. februāra noteikumos Nr. 92 "Starptautiskās kravu loģistikas un ostu informācijas sistēmas noteikumi""). Rīgā 2025. gada 21. oktobrī (prot. Nr. 44 14.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32019R1239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2019/1239, ar ko izveido Eiropas Jūras vienloga sistēmas vidi un ar ko atceļ Direktīvu 2010/65/ES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tiek izveidots satvars tehnoloģiski neitrālai un sadarbspējīgai Eiropas Jūras vienloga sistēmas videi (“EMSWe”) ar saskaņotām saskarnēm, lai atvieglotu informācijas elektronisku pārraidi saistībā ar ziņošanas pienākumiem par kuģiem, kas ienāk un paliek Eiropas Savienības ostā un iziet no Eiropas Savienības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piemērojama no 2025. gada 15. augusta.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32023R0205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7. novembra Deleģētā regula (ES) 2023/205, ar ko attiecībā uz Eiropas Jūras vienloga sistēmas vides datu kopas izveidi papildina Eiropas Parlamenta un Padomes Regulu (ES) 2019/1239 un groza tās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regulu tiek grozīta Regula (ES) Nr. 2019/1239, ar kuru tiek izveidots satvars tehnoloģiski neitrālai un sadarbspējīgai Eiropas Jūras vienloga sistēmas videi (“EMSWe”) ar saskaņotām saskarnēm, lai atvieglotu informācijas elektronisku pārraidi saistībā ar ziņošanas pienākumiem par kuģiem, kas ienāk un paliek Eiropas Savienības ostā un iziet no Eiropas Savienības ostas.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piemērojama no 2025. gada 15. augusta.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32002L0059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2002.gada 27.jūnija Direktīva 2002/59/EK, ar ko izveido Kopienas kuģu satiksmes uzraudzības un informācijas sistēmu un atceļ Padomes Direktīvu 93/75/EEK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direktīvas mērķis ir izveidot Eiropas Kopienas kuģu satiksmes uzraudzības un informācijas sistēmu (SafeSeaNet), lai palielinātu jūras satiksmes drošību un efektivitāti, uzlabojot iestāžu gatavību reaģēt uz starpgadījumiem jūrā, jūras negadījumiem vai iespējamām bīstamām situācijām jūrā, ieskaitot meklēšanas un glābšanas operācijas, un veicināt kuģu izraisītā piesārņojuma labāku novēršanu un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32019L0883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17. aprīļa Direktīva (ES) 2019/883 par ostas atkritumu pieņemšanas iekārtām kuģu atkritumu nodošanai un ar ko groza Direktīvu 2010/65/ES un atceļ Direktīvu 2000/59/EK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direktīvas mērķis ir uzlabot jūras vides aizsardzību pret negatīvo ietekmi, ko rada atkritumu novadīšana no kuģiem, kas izmanto ostas Eiropas Savienībā, un vienlaikus nodrošināt jūras satiksmes netraucētu darbību, uzlabojot piemērotu ostas atkritumu pieņemšanas iekārtu pieejamību un izmantošanu un atkritumu nodošanu minētajās iekārtās.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01998L0041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1998. gada 18. jūnija direktīva 98/41/EK par to personu reģistrāciju, kas atrodas uz pasažieru kuģiem, kuri kursē uz Kopienas dalībvalstu ostām vai no 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direktīvas mērķis ir paaugstināt drošību un to pasažieru un apkalpes izglābšanas iespējas, kas atrodas uz pasažieru kuģiem, kuri veic reisus uz Kopienas dalībvalstu ostām vai no tām, un nodrošināt to, ka paaugstinās meklēšanas un glābšanas darbu, kā arī jebkura negadījuma seku likvidēšanas efektivitāte.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1965. gada Konvencija par starptautiskās jūras satiksmes atvieglošanu ar 2022. gada 13. maija grozījumiem (Rezolūcija FAL.14(46)) tās pielikumā (Latvijas Vēstnesis, 2024, 74.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FAL konvencijas mērķis ir atvieglot un paātrināt starptautisko jūras satiksmi un novērst nevajadzīgu kuģu, personu un īpašuma aizkavēšanos, kārtojot ostu formalitātes.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2019/1239, ar ko izveido Eiropas Jūras vienloga sistēmas vidi un ar ko atceļ Direktīvu 2010/65/ES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15.</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17.</w:t>
            </w:r>
            <w:r w:rsidR="00000000" w:rsidRPr="00000000" w:rsidDel="00000000">
              <w:rPr>
                <w:sz w:val="24"/>
                <w:vertAlign w:val="superscript"/>
                <w:rtl w:val="0"/>
              </w:rPr>
              <w:t xml:space="preserve">1</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18.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tabulas sadaļu par rīcības brīvību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tabulas sadaļu par rīcības brīvību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41.</w:t>
            </w:r>
            <w:r w:rsidR="00000000" w:rsidRPr="00000000" w:rsidDel="00000000">
              <w:rPr>
                <w:sz w:val="24"/>
                <w:vertAlign w:val="superscript"/>
                <w:rtl w:val="0"/>
              </w:rPr>
              <w:t xml:space="preserve">2</w:t>
            </w:r>
            <w:r w:rsidR="00000000" w:rsidRPr="00000000" w:rsidDel="00000000">
              <w:rPr>
                <w:sz w:val="24"/>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tabulas sadaļu par rīcības brīvību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5. panta 6.</w:t>
            </w:r>
            <w:r w:rsidR="00000000" w:rsidRPr="00000000" w:rsidDel="00000000">
              <w:rPr>
                <w:sz w:val="24"/>
                <w:vertAlign w:val="superscript"/>
                <w:rtl w:val="0"/>
              </w:rPr>
              <w:t xml:space="preserve">1</w:t>
            </w:r>
            <w:r w:rsidR="00000000" w:rsidRPr="00000000" w:rsidDel="00000000">
              <w:rPr>
                <w:sz w:val="24"/>
                <w:rtl w:val="0"/>
              </w:rPr>
              <w:t xml:space="preserve"> punkts un 41.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7., 15.</w:t>
            </w:r>
            <w:r w:rsidR="00000000" w:rsidRPr="00000000" w:rsidDel="00000000">
              <w:rPr>
                <w:sz w:val="24"/>
                <w:vertAlign w:val="superscript"/>
                <w:rtl w:val="0"/>
              </w:rPr>
              <w:t xml:space="preserve">1</w:t>
            </w:r>
            <w:r w:rsidR="00000000" w:rsidRPr="00000000" w:rsidDel="00000000">
              <w:rPr>
                <w:sz w:val="24"/>
                <w:rtl w:val="0"/>
              </w:rPr>
              <w:t xml:space="preserve">, 18. un 20.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15.</w:t>
            </w:r>
            <w:r w:rsidR="00000000" w:rsidRPr="00000000" w:rsidDel="00000000">
              <w:rPr>
                <w:sz w:val="24"/>
                <w:vertAlign w:val="superscript"/>
                <w:rtl w:val="0"/>
              </w:rPr>
              <w:t xml:space="preserve">2 </w:t>
            </w:r>
            <w:r w:rsidR="00000000" w:rsidRPr="00000000" w:rsidDel="00000000">
              <w:rPr>
                <w:sz w:val="24"/>
                <w:rtl w:val="0"/>
              </w:rPr>
              <w:t xml:space="preserve">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11.</w:t>
            </w:r>
            <w:r w:rsidR="00000000" w:rsidRPr="00000000" w:rsidDel="00000000">
              <w:rPr>
                <w:sz w:val="24"/>
                <w:vertAlign w:val="superscript"/>
                <w:rtl w:val="0"/>
              </w:rPr>
              <w:t xml:space="preserve">2</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12., 23., 25., 35., 36., 48., 60., 76. un 79.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5. panta 6.</w:t>
            </w:r>
            <w:r w:rsidR="00000000" w:rsidRPr="00000000" w:rsidDel="00000000">
              <w:rPr>
                <w:sz w:val="24"/>
                <w:vertAlign w:val="superscript"/>
                <w:rtl w:val="0"/>
              </w:rPr>
              <w:t xml:space="preserve">1</w:t>
            </w:r>
            <w:r w:rsidR="00000000" w:rsidRPr="00000000" w:rsidDel="00000000">
              <w:rPr>
                <w:sz w:val="24"/>
                <w:rtl w:val="0"/>
              </w:rPr>
              <w:t xml:space="preserve"> punkts un 41.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15.</w:t>
            </w:r>
            <w:r w:rsidR="00000000" w:rsidRPr="00000000" w:rsidDel="00000000">
              <w:rPr>
                <w:sz w:val="24"/>
                <w:vertAlign w:val="superscript"/>
                <w:rtl w:val="0"/>
              </w:rPr>
              <w:t xml:space="preserve">2</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2007. gada 26. jūnija noteikumu Nr. 417 “Par Starptautiskajiem veselības aizsardzības noteikumiem”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16. novembra noteikumu Nr. 1050 “Sabiedrības veselības aizsardzības pasākumu veikšanas kārtība”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5. panta 6.</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informatīvās atsauces uz Eiropas Savienības direktīvām 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41.</w:t>
            </w:r>
            <w:r w:rsidR="00000000" w:rsidRPr="00000000" w:rsidDel="00000000">
              <w:rPr>
                <w:sz w:val="24"/>
                <w:vertAlign w:val="superscript"/>
                <w:rtl w:val="0"/>
              </w:rPr>
              <w:t xml:space="preserve">1</w:t>
            </w:r>
            <w:r w:rsidR="00000000" w:rsidRPr="00000000" w:rsidDel="00000000">
              <w:rPr>
                <w:sz w:val="24"/>
                <w:rtl w:val="0"/>
              </w:rPr>
              <w:t xml:space="preserve"> panta pirmā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Īstenojot Regulas (ES) 2019/1239 4. panta 1. punktu, iestāde, kura savas kompetences ietvaros plāno grozīt tiesību aktos un prasībās paredzētu ziņošanas pienākumu, kas ietvertu tādas informācijas sniegšanu, kura nav iekļauta ar šo regulu apstiprinātajā datu elementu sarakstā (EMSWe datu kopā), paziņo par to Eiropas Komisijai ar Satiksmes ministrijas, kas pilda valsts Eiropas Jūras vienloga sistēmas vides (EMSWe) koordinatora funkcijas, starpniecību (Jūrlietu pārvaldes un jūras drošības likuma 5. panta 6.</w:t>
            </w:r>
            <w:r w:rsidR="00000000" w:rsidRPr="00000000" w:rsidDel="00000000">
              <w:rPr>
                <w:sz w:val="24"/>
                <w:vertAlign w:val="superscript"/>
                <w:rtl w:val="0"/>
              </w:rPr>
              <w:t xml:space="preserve">2</w:t>
            </w:r>
            <w:r w:rsidR="00000000" w:rsidRPr="00000000" w:rsidDel="00000000">
              <w:rPr>
                <w:sz w:val="24"/>
                <w:rtl w:val="0"/>
              </w:rPr>
              <w:t xml:space="preserve"> punkts). Šobrīd nav konstatēta nepieciešamība pēc detalizētāka normatīvā regulējuma (Regulas (ES) 2019/1239 prasības ir pietiekamas un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Īstenojot Regulas (ES) 2019/1239 4. panta 4. punktu, iestāde, kura izņēmuma apstākļos plāno prasīt papildu datu elementus, izvērtē, vai šādas iestādes tiesības ir noteiktas iestādes kompetenci regulējošajos normatīvajos aktos vai arī ir nepieciešams papildu tiesiskais regulējums. Iestāde paziņo prasītos papildu datu elementus vai lūdz tos iekļaut datu elementu sarakstā (EMSWe datu kopā) Eiropas Komisijai ar Satiksmes ministrijas, kas pilda valsts Eiropas Jūras vienloga sistēmas vides (EMSWe) koordinatora funkcijas, starpniecību (Jūrlietu pārvaldes un jūras drošības likuma 5. panta 6.</w:t>
            </w:r>
            <w:r w:rsidR="00000000" w:rsidRPr="00000000" w:rsidDel="00000000">
              <w:rPr>
                <w:sz w:val="24"/>
                <w:vertAlign w:val="superscript"/>
                <w:rtl w:val="0"/>
              </w:rPr>
              <w:t xml:space="preserve">2</w:t>
            </w:r>
            <w:r w:rsidR="00000000" w:rsidRPr="00000000" w:rsidDel="00000000">
              <w:rPr>
                <w:sz w:val="24"/>
                <w:rtl w:val="0"/>
              </w:rPr>
              <w:t xml:space="preserve"> punkts). Šobrīd nav konstatēta nepieciešamība pēc detalizētāka normatīvā regulējuma (Regulas (ES) 2019/1239 prasības ir pietiekamas un tieši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Regulas (ES) 2019/1239 5. panta 1. punkta trešā daļa dalībvalstij piešķirtā rīcības brīvība atsevišķi vai kopīgi ar vienu vai vairākām citām dalībvalstīm izveidot jūras vienloga sistēmu, netiek īstenota. Eiropas Komisijas ziņojumā par deleģēto aktu pieņemšanas pilnvarām, ko Komisijai dod Regula (ES) 2019/1239, norādīts – lai nodrošinātu viszemākās izmaksas un aizsargātu agrākās investīcijas, jaunā ziņošanas vide lielā mērā tiek balstīta pastāvošajās, mantotajās valstu jūrniecības vienloga sistēmās. Šādu apsvērumu dēļ arī Latvijas gadījumā netiks veidota jauna sistēma, bet tiks attīstīta esošā Starptautiskā kravu loģistikas un ostu informācijas sistēma (SKLOIS).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2023. gada 14. decembra Īstenošanas regulas (ES) 2023/2790, ar ko nosaka funkcionālās un tehniskās specifikācijas valsts jūras vienloga sistēmas ziņošanas saskarņu modulim, un Komisijas 2022. gada 28. oktobra Īstenošanas regulas (ES) 2023/204, ar ko nosaka tehniskās specifikācijas, standartus un procedūras Eiropas Jūras vienloga sistēmas videi saskaņā ar Eiropas Parlamenta un Padomes Regulu (ES) 2019/1239, prasību īstenošanai nepieciešamais tiesiskais regulējums noteikts Ministru kabineta 2020. gada 11. februāra noteikumos Nr. 92 "Starptautiskās kravu loģistikas un ostu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 vēl nav pieņēmusi īstenošanas aktu par šīs regulas 8. panta 3. un 4. punkta un 13. panta 2. punkta prasību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7. novembra Deleģētā regula (ES) 2023/205, ar ko attiecībā uz Eiropas Jūras vienloga sistēmas vides datu kopas izveidi papildina Eiropas Parlamenta un Padomes Regulu (ES) 2019/1239 un groza tās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personu robežpārbaudēm.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parlamenta un padomes regulu (ES) 2016/399 par Savienības Kodeksu par noteikumiem, kas reglamentē personu pārvietošanos pār robežām (Šengenas Robežu kodekss)  termins “robežpārbaudes” ir skaidrots kā “pārbaudes, ko veic robežšķērsošanas vietās, lai nodrošinātu, ka personām, tostarp viņu transportlīdzekļiem un mantām drīkst atļaut ieceļot dalībvalstu teritorijā vai izceļot no tās”. Iekšlietu ministrija norāda, ka valsts drošības nolūkos un lai nodrošinātu reglamentētu un efektīvu robežkontroles režīmu ir nepieciešams ostas formalitāšu kārtošanu kuģa piestāšanai ostā paplašināt ar papildus kontroli, ietverot personu pārvietošanās uzraudzību un kontroles pasākumus attiecībā uz ieceļošanas, uzturēšanās, tranzīta un izceļošanas noteikumiem. Paplašināšana ir nepieciešama, lai pilnvaru īstenošana, kas paredzēta saskaņā ar Eiropas Parlamenta un Padomes Regulas (ES) Nr. 2016/399 23. panta “a” punkta “ii” apakšpunktu, tiktu veikta ar pietiekamu elastību un risku balstītu pieeju, vienlaikus saglabājot nacionālās drošības prioritāti.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1.16., 1.18., 1.21., 1.22., 1.23., 1.24., 1.25., 1.26., 1.29., 1.28., 1.30., 1.32., 1.34., 1.40., 1.41., 1.51. un 1.52.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92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339 29. un 30.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22. marta noteikumu Nr. 193 “Kuģu atkritumu pieņemšanas kārtība un kuģu atkritumu apsaimniekošanas plānu izstrādes kārtība” 51.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21. decembra noteikumu Nr. 1164 “Ostas valsts kontroles kārtība” 24. un 32.</w:t>
            </w:r>
            <w:r w:rsidR="00000000" w:rsidRPr="00000000" w:rsidDel="00000000">
              <w:rPr>
                <w:sz w:val="24"/>
                <w:vertAlign w:val="superscript"/>
                <w:rtl w:val="0"/>
              </w:rPr>
              <w:t xml:space="preserve">1</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16. novembra noteikumu Nr. 1050 “Sabiedrības veselības aizsardzības pasākumu veikšanas kārtība” 17.3.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Pilnīga pārņemšana tiks nodrošināta līdz 2027. gada 1. janvārim (šo noteikumu spēkā stāšanās datums), veicot nepieciešamos grozījumus ostu noteikumos, lai tie atbilstu EMSWe datu kopai.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tiesību aktu grozījumu iesniegšanas termiņš Ministru kabinetā – 2026. gada 31. maijs, kas iekļaujas šo noteikumu spēkā stāšanās termiņā un dod iespēju pieņemt izsvērtus risinājumus SKLOIS un ostu informācijas sistēmu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institūcija – Satiksmes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tabulas aizpildīšanā ir ņemti vērā grozījumi Deleģētajā regulā (ES) 2023/205, kas izdarīti ar Komisijas 2025. gada 7. aprīļa Deleģēto regulu (ES) 2025/674, ar ko Deleģēto regulu (ES) 2023/205 groza attiecībā uz Eiropas Jūras vienloga sistēmas vides datu kopu.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2002.gada 27.jūnija Direktīva 2002/59/EK, ar ko izveido Kopienas kuģu satiksmes uzraudzības un informācijas sistēmu un atceļ Padomes Direktīvu 93/75/EEK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2002/59/EK 3. panta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Svītrojot MK noteikumu Nr. 339 2.8. apakšpunktu (projekta 1.2. apakšpunkts), norma netiek pārņemta.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Deleģētajā regulā (ES) tiek lietots termins "transporta aprīkojums", kas pēc savas būtības aizstāj Direktīvā 2002/59/EK lietoto terminu "kravas transporta aprīkojums". Turpmāk Deleģētās regulas (ES) 2023/205 II pielikumā ir iekļauts un definēts datu elements DE-051-01 “Transporta aprīkojuma identifikācijas numurs” un DE-051-22 “Transporta aprīkojuma kategorija”. Minētie datu elementi tiek paziņoti, iesniedzot deklarāciju “A3 –  Paziņošana par bīstamām vai piesārņojošām kravām, ko pārvadā ar kuģi”.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2002/59/EK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1.16. apakšpunkts (MK noteikumu Nr. 339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339 8.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2002/59/EK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1.22. apakšpunkts (MK noteikumu Nr. 339 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339 31. un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2002/59/EK 13.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1.22. apakšpunkts (MK noteikumu Nr. 339 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339 31. un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2002/59/EK 13.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1.22. apakšpunkts (MK noteikumu Nr. 339 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339 31. un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1.16. apakšpunkts (MK noteikumu Nr. 339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2002/59/EK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1.22. apakšpunkts (MK noteikumu Nr. 339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tabulas aizpildīšanā ir ņemti vērā grozījumi Direktīvā 2002/59/EK, kas izdarīti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Eiropas Parlamenta un Padomes 2009. gada 23. aprīļa Direktīvu 2009/17/EK, ar kuru groza Direktīvu 2002/59/EK, ar ko izveido Kopienas kuģu satiksmes uzraudzības un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Eiropas Parlamenta un Padomes 2009. gada 23. aprīļa Direktīvu 2009/18/EK, ar ko nosaka pamatprincipus negadījumu izmeklēšanai jūras transporta nozarē un groza Padomes Direktīvu 1999/35/EK un Eiropas Parlamenta un Padomes Direktīvu 2002/59/EK;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Komisijas 2011. gada 23. februāra Direktīvu 2011/15/ES, ar kuru groza Eiropas Parlamenta un Padomes Direktīvu 2002/59/EK, ar ko izveido Kopienas kuģu satiksmes uzraudzības un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Komisijas 2014. gada 28. oktobra Direktīvu 2014/100/ES, ar kuru groza Eiropas Parlamenta un Padomes Direktīvu 2002/59/EK, ar ko izveido Kopienas kuģu satiksmes uzraudzības un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Eiropas Parlamenta un Padomes 2019. gada 20. jūnija Regulu (ES) 2019/1243, ar ko vairākus tiesību aktus, kuros paredzēta regulatīvās kontroles procedūras izmantošana, pielāgo Līguma par Eiropas Savienības darbību 290. un 291.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Komisijas 2025. gada 19. februāra Deleģēto direktīvu (ES) 2025/811, ar ko Eiropas Parlamenta un Padomes Direktīvas 2002/59/EK I pielikumu groza attiecībā uz kuģu ziņošanas sistēmām paziņojamo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2002/59/EK prasības pārņemtas ar šādiem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Jūrlietu pārvaldes un jūras drošības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Ministru kabineta 2020. gada 11. februāra noteikumi Nr. 92 “Starptautiskās kravu loģistikas un ostu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Ministru kabineta 2018. gada 18. decembra noteikumi Nr. 810 “Automātiskās identifikācijas sistēmas (AIS) un Tālās darbības identifikācijas un sekošanas (LRIT) sistēmas darbības nodrošināšanas, datu izmantošanas un aprites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Ministru kabineta 2011. gada 12.jūlija noteikumi Nr. 561 “Jūras negadījumu un jūras incidentu izmeklēšanas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Ministru kabineta 2010. gada 21. decembra noteikumi Nr. 1171 “Noteikumi par Latvijas ūdeņu izmantošanas kārtību un kuģošanas režīmu tajos”;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Ministru kabineta 2010. gada 21. decembra noteikumi Nr. 1164 “Ostas valsts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Ministru kabineta 2009. gada 15. septembra noteikumi Nr. 1060 “Noteikumi par bīstamo un piesārņojošo kravu apriti un kontroli ostās”;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Ministru kabineta 2006. gada 28. marta noteikumi Nr. 248 “Noteikumi par jūras zvejas kuģu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Ministru kabineta 2012. gada 15. maija noteikumi Nr. 339 “Noteikumi par ostu formalitātēm”.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17. aprīļa Direktīva (ES) 2019/883 par ostas atkritumu pieņemšanas iekārtām kuģu atkritumu nodošanai un ar ko groza Direktīvu 2010/65/ES un atceļ Direktīvu 2000/59/EK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2019/883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1.23. apakšpunkts (MK noteikumu Nr. 339 46.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339 47. 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2019/883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1.24. apakšpunkts (MK noteikumu Nr. 339 56.</w:t>
            </w:r>
            <w:r w:rsidR="00000000" w:rsidRPr="00000000" w:rsidDel="00000000">
              <w:rPr>
                <w:sz w:val="24"/>
                <w:vertAlign w:val="superscript"/>
                <w:rtl w:val="0"/>
              </w:rPr>
              <w:t xml:space="preserve">1</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22. marta noteikumu Nr. 193 “Kuģu atkritumu pieņemšanas kārtība un kuģu atkritumu apsaimniekošanas plānu izstrādes kārtība” 10.1. apakšpunkts, 52. un 53. punkts un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likuma 41.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2019/883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1.23. apakšpunkts (MK noteikumu Nr. 339 46.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(ES) 2019/883 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1.24. apakšpunkts (MK noteikumu Nr. 339 56.</w:t>
            </w:r>
            <w:r w:rsidR="00000000" w:rsidRPr="00000000" w:rsidDel="00000000">
              <w:rPr>
                <w:sz w:val="24"/>
                <w:vertAlign w:val="superscript"/>
                <w:rtl w:val="0"/>
              </w:rPr>
              <w:t xml:space="preserve">1</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22. marta noteikumu Nr. 193 “Kuģu atkritumu pieņemšanas kārtība un kuģu atkritumu apsaimniekošanas plānu izstrādes kārtība” 10.1. apakšpunkts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(ES) 2019/883 prasības pārņemtas ar šādiem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Ostu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Jūras vides aizsardzības un pārvaldības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Atkritumu apsaimniekošanas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Jūrlietu pārvaldes un jūras drošības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Ministru kabineta 2022. gada 22. marta noteikumi Nr. 193 “Kuģu atkritumu pieņemšanas kārtība un kuģu atkritumu apsaimniekošanas plānu izstrādes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Ministru kabineta 2012. gada 15. maija noteikumi Nr. 339 “Noteikumi par ostu formalitātēm”.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1998. gada 18. jūnija direktīva 98/41/EK par to personu reģistrāciju, kas atrodas uz pasažieru kuģiem, kuri kursē uz Kopienas dalībvalstu ostām vai no tām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98/41/EK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1.51. apakšpunkts (MK noteikumu Nr. 339 110.</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98/41/EK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1.52. apakšpunkts (MK noteikumu Nr. 339 110.</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98/41/EK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1.52. apakšpunkts (MK noteikumu Nr. 339 110.</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98/41/EK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1.51. apakšpunkts (MK noteikumu Nr. 339 110.</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98/41/EK 10.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1.53. apakšpunkts (MK noteikumu Nr. 339 110.</w:t>
            </w:r>
            <w:r w:rsidR="00000000" w:rsidRPr="00000000" w:rsidDel="00000000">
              <w:rPr>
                <w:sz w:val="24"/>
                <w:vertAlign w:val="superscript"/>
                <w:rtl w:val="0"/>
              </w:rPr>
              <w:t xml:space="preserve">7</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2020. gada 11. februāra noteikumu Nr. 92 “Starptautiskās kravu loģistikas un ostu informācijas sistēmas noteikumi”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Šīs tabulas aizpildīšanā ir ņemti vērā grozījumi Direktīvā 98/41/EK, kas izdarīti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Eiropas Parlamenta un Padomes 2002. gada 5. novembra Direktīvu 2002/84/EK, ar ko groza direktīvas par kuģošanas drošību un kuģu izraisītā piesārņojuma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Eiropas Parlamenta un Padomes 2008. gada 22. oktobra Regulu (EK) Nr. 1137/2008, ar ko vairākus instrumentus, kuriem piemēro Līguma 251. pantā noteikto procedūru, pielāgo Padomes Lēmumam 1999/468/EK attiecībā uz regulatīvo kontroles procedūru – Pielāgošana regulatīvajai kontroles procedūrai –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Eiropas Parlamenta un Padomes 2017. gada 15. novembra Direktīvu (ES) 2017/2109, ar ko groza Padomes Direktīvu 98/41/EK par to personu reģistrāciju, kas atrodas uz pasažieru kuģiem, kuri kursē uz Kopienas dalībvalstu ostām vai no tām, un Eiropas Parlamenta un Padomes Direktīvu 2010/65/ES par ziņošanas formalitātēm kuģiem, kuri ienāk dalībvalstu ostās un/vai iziet no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98/41/EK prasības pārņemtas ar šādiem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Jūrlietu pārvaldes un jūras drošības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Ministru kabineta 2020. gada 11. februāra noteikumi Nr. 92 “Starptautiskās kravu loģistikas un ostu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Ministru kabineta 2012. gada 15. maija noteikumi Nr. 339 “Noteikumi par ostu formalitātēm”.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1965. gada Konvencija par starptautiskās jūras satiksmes atvieglošanu ar 2022. gada 13. maija grozījumiem (Rezolūcija FAL.14(46)) tās pielikumā (Latvijas Vēstnesis, 2024, 74. nr.)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2.1.</w:t>
            </w:r>
            <w:r w:rsidR="00000000" w:rsidRPr="00000000" w:rsidDel="00000000">
              <w:rPr>
                <w:sz w:val="24"/>
                <w:i w:val="1"/>
                <w:rtl w:val="0"/>
              </w:rPr>
              <w:t xml:space="preserve">bis </w:t>
            </w:r>
            <w:r w:rsidR="00000000" w:rsidRPr="00000000" w:rsidDel="00000000">
              <w:rPr>
                <w:sz w:val="24"/>
                <w:rtl w:val="0"/>
              </w:rPr>
              <w:t xml:space="preserve">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1.29. apakšpunkts (Noteikumu Nr. 339  72.2. un 77.2. apakšpunkta nākotnes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2.3.5.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1.29. apakšpunkts (Noteikumu Nr. 339  72.2. un 77.2. apakšpunkta nākotnes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7.8.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1.54. apakšpunkts (Noteikumu Nr. 339  111. punkta nākotnes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 nodaļas G apakšnodaļa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1.55. apakšpunkts (Noteikumu Nr. 339  113. punkta nākotnes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Satiksmes ministrija, Valsts robežsardze,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https://vktap.mk.gov.lv/public_participations/public_discussions/d5d62b95-5774-4c4e-9150-0b83f0436328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Krasta apsardzes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Skultes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Mērsraga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Salacgrīvas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Pāvilostas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Rojas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Engures 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robežsardzes funkcijas un uzdevumi  - nodrošinot ziņošanas kontroli saistībā ar ieceļošanas, uzturēšanās, tranzīta un izceļošanas noteikumu prasībām. (Noteikumu Nr. 339 3. punkts un 8.nodaļa. (nākotnes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izpildē iesaistīto institūciju saraksts netiek mainīts un grozījumiem nav tiešas ietekmes uz institūciju funkcijām un uzdevumiem. Grozījumi pielīdzina iepriekš sniegto ziņojumu skaitu, iesniegšanas gadījumus, datu kopas un datu elementus Regulas ( ES) 2019/1239 noteiktajiem ziņojumiem, iesniegšanas gadījumiem, EMSWe datu kopām un datu elementiem. Projekta izpildē iesaistītajām institūcijām nebūs jāveic ziņojumu un datu transformācija, jo Regulas ( ES) 2019/1239 noteikto prasību izpilde tiks nodrošināta ar jauno SKLOIS funkcionalitāti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atzinumos ir sniegusi informāciju, ka papildu funkcijas tiks izpildītas esošo 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tiks izveidota un iekļausies Eiropas Jūras vienloga sistēmas vidē (“EMSWe”) kā valsts jūras vienloga sistēma (MNSW), kas tiks izmantota elektroniskas informācijas saņemšanai, apmaiņai un nosūtīšanai ziņošanas pienākumu izpildei, kas ietver kopīgi noteiktu piekļuves tiesību pārvaldību, saskaņotu ziņošanas saskarņu moduli un grafisku lietotāja saskarni saziņai ar deklarētājiem, kā arī savienojumus ar attiecīgo iestāžu sistēmām un datubāzēm valsts un Eiropas Savienības līmenī, kas iespējo ziņojumus vai apliecinājumus, kuri aptver visplašāko tādu lēmumu klāstu, kurus pieņēmušas visas iesaistītās attiecīgās iestādes un kuri ir jāpaziņo deklarētājiem, un kas attiecīgā gadījumā varētu atļaut savienošanu ar citiem ziņošanas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SKLOIS tiks izveidota un iekļausies Eiropas Jūras vienloga sistēmas vidē (“EMSWe”) kā valsts jūras vienloga sistēma (MNSW), kas tiks izmantota elektroniskas informācijas saņemšanai, apmaiņai un nosūtīšanai ziņošanas pienākumu izpildei, kas ietver kopīgi noteiktu piekļuves tiesību pārvaldību, saskaņotu ziņošanas saskarņu moduli un grafisku lietotāja saskarni saziņai ar deklarētājiem, kā arī savienojumus ar attiecīgo iestāžu sistēmām un datubāzēm valsts un Eiropas Savienības līmenī, kas iespējo ziņojumus vai apliecinājumus, kuri aptver visplašāko tādu lēmumu klāstu, kurus pieņēmušas visas iesaistītās attiecīgās iestādes un kuri ir jāpaziņo deklarētājiem, un kas attiecīgā gadījumā varētu atļaut savienošanu ar citiem ziņošanas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glabāšanas nolūks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jaunas personas datu apstrādes darbības, bet tikai tehniski precizē datu apzīmējumus, lai nodrošinātu to identificēšanu apstiprinātajā EMSWe datu kopā. Personas dati tiek apstrādāti saskaņā ar attiecīgās jomas normatīvajiem aktiem, kas nosaka ziņošanas pienākumus kuģim, piestājot Eiropas Savienības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saskaņā ar Vispārīgās datu aizsardzības regulas 6. panta 1. punkta c) apakšpunktu – juridiskā pienākuma izpilde, kas ir piemērojams pārzinim. Papildus, ja tiek apstrādāti īpašas kategorijas dati, tiek piemērots regulas 9. panta 2. punkta i) apakšpunkts – apstrāde sabiedrības interešu dēļ sabiedrības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Pārzinim noteiktie juridiskie pienākumi izriet no Regulas (ES) 2019/1239 5. panta 1. punkta, kas paredz SKLOIS funkcijas saistībā ar nacionālo </w:t>
      </w:r>
      <w:r w:rsidR="00000000" w:rsidRPr="00000000" w:rsidDel="00000000">
        <w:rPr>
          <w:i w:val="1"/>
          <w:rtl w:val="0"/>
        </w:rPr>
        <w:t xml:space="preserve">SafeSeaNet</w:t>
      </w:r>
      <w:r w:rsidR="00000000" w:rsidRPr="00000000" w:rsidDel="00000000">
        <w:rPr>
          <w:rtl w:val="0"/>
        </w:rPr>
        <w:t xml:space="preserve"> un valsts jūras vienloga sistēmu (MNSW).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apjomu nosaka attiecīgās jomas normatīvie akti, kas regulē ziņošanas pienākumus, kuģim piestājot Eiropas Savienības 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termiņi ir noteikti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11. februāra noteikumu Nr. 92 “Starptautiskās kravu loģistikas un ostu informācijas sistēmas noteikumi”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25. jūnija noteikumu Nr. 397 “Minimālās kiberdrošības prasības” 57. un 70.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Fizisko personu datu apstrādes likuma 37.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25-TA-592</w:t>
    </w:r>
    <w:r>
      <w:br/>
    </w:r>
    <w:r w:rsidR="00000000" w:rsidRPr="00000000" w:rsidDel="00000000">
      <w:rPr>
        <w:rtl w:val="0"/>
      </w:rPr>
      <w:t xml:space="preserve">Izdrukāts 10.08.2026. 10.40 - 10.0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25-TA-592</w:t>
    </w:r>
    <w:r>
      <w:br/>
    </w:r>
    <w:r w:rsidR="00000000" w:rsidRPr="00000000" w:rsidDel="00000000">
      <w:rPr>
        <w:rtl w:val="0"/>
      </w:rPr>
      <w:t xml:space="preserve">Izdrukāts 10.08.2026. 10.40 - 10.0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anotācija_(ex_ante)_25-TA-592.docx</dc:title>
</cp:coreProperties>
</file>

<file path=docProps/custom.xml><?xml version="1.0" encoding="utf-8"?>
<Properties xmlns="http://schemas.openxmlformats.org/officeDocument/2006/custom-properties" xmlns:vt="http://schemas.openxmlformats.org/officeDocument/2006/docPropsVTypes"/>
</file>