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3A043E" w14:textId="6FCDCFD2" w:rsidR="009532EB" w:rsidRPr="00C760DF" w:rsidRDefault="005223F3" w:rsidP="00416935">
      <w:pPr>
        <w:spacing w:before="90" w:after="90"/>
        <w:jc w:val="center"/>
        <w:rPr>
          <w:b/>
        </w:rPr>
      </w:pPr>
      <w:r w:rsidRPr="00A21687">
        <w:rPr>
          <w:b/>
        </w:rPr>
        <w:t>Rīkojuma projekta</w:t>
      </w:r>
      <w:r w:rsidR="007B11D3" w:rsidRPr="00A21687">
        <w:rPr>
          <w:b/>
        </w:rPr>
        <w:t xml:space="preserve"> </w:t>
      </w:r>
      <w:r w:rsidR="00012F01" w:rsidRPr="00A21687">
        <w:rPr>
          <w:b/>
        </w:rPr>
        <w:t xml:space="preserve">"Par Latvijas Republikas delegāciju dalībai Starptautiskā Valūtas fonda un Pasaules Bankas grupas pilnvarnieku pavasara sanāksmēs 2026. gada 13.–18. aprīlī" </w:t>
      </w:r>
      <w:r w:rsidR="007B11D3" w:rsidRPr="00A21687">
        <w:rPr>
          <w:b/>
        </w:rPr>
        <w:t>a</w:t>
      </w:r>
      <w:r w:rsidR="00AD66F5" w:rsidRPr="00A21687">
        <w:rPr>
          <w:b/>
        </w:rPr>
        <w:t>notācijas pielikums</w:t>
      </w:r>
    </w:p>
    <w:p w14:paraId="167252A4" w14:textId="77777777" w:rsidR="009532EB" w:rsidRPr="00AD66F5" w:rsidRDefault="009532EB" w:rsidP="009532EB">
      <w:pPr>
        <w:spacing w:before="90" w:after="90"/>
        <w:ind w:left="7200"/>
        <w:rPr>
          <w:bCs/>
          <w:i/>
          <w:iCs/>
        </w:rPr>
      </w:pPr>
    </w:p>
    <w:p w14:paraId="239D36B5" w14:textId="201637B7" w:rsidR="007B2EAB" w:rsidRDefault="00C936F7">
      <w:pPr>
        <w:spacing w:before="90" w:after="90"/>
      </w:pPr>
      <w:r>
        <w:rPr>
          <w:b/>
        </w:rPr>
        <w:t>Problēmas apraksts</w:t>
      </w:r>
    </w:p>
    <w:p w14:paraId="239D36B8" w14:textId="77777777" w:rsidR="007B2EAB" w:rsidRDefault="00C936F7">
      <w:r>
        <w:rPr>
          <w:b/>
        </w:rPr>
        <w:t>I. Labvēlīgas vides veidošanai darbavietu radīšanai</w:t>
      </w:r>
    </w:p>
    <w:p w14:paraId="239D36B9" w14:textId="77777777" w:rsidR="007B2EAB" w:rsidRDefault="007B2EAB"/>
    <w:p w14:paraId="239D36BA" w14:textId="200FD060" w:rsidR="007B2EAB" w:rsidRDefault="00C936F7">
      <w:r>
        <w:t xml:space="preserve">Ziņojums izklāsta </w:t>
      </w:r>
      <w:r w:rsidR="00E634A2" w:rsidRPr="00CB499C">
        <w:t>Pasaules Bankas grupas (turpmāk</w:t>
      </w:r>
      <w:r w:rsidR="00FA256C" w:rsidRPr="00CB499C">
        <w:t xml:space="preserve"> </w:t>
      </w:r>
      <w:r w:rsidR="00E634A2" w:rsidRPr="00CB499C">
        <w:t>-</w:t>
      </w:r>
      <w:r w:rsidR="00E634A2">
        <w:t xml:space="preserve"> </w:t>
      </w:r>
      <w:r>
        <w:t>PBG</w:t>
      </w:r>
      <w:r w:rsidR="00E634A2">
        <w:t>)</w:t>
      </w:r>
      <w:r>
        <w:t xml:space="preserve"> stratēģiju atbalsta sniegšanai attīstības valstīm darbavietu radīšanā ar uzsvaru uz uzņēmējdarbību atbalstošu regulējumu, kas balstās uz trim pīlāriem: 1) infrastruktūra darbavietu radīšanai privātā sektorā, 2) uzņēmējdarbību veicinošs regulējums, 3) apjomīga privāto investīciju piesaiste. PBG Attīstības komiteja 2025. gada oktobrī diskutēja par pirmo pīlāru un šajā sanāksmē  tiks pārrunāts otrais pīlārs.</w:t>
      </w:r>
    </w:p>
    <w:p w14:paraId="239D36BB" w14:textId="77777777" w:rsidR="007B2EAB" w:rsidRDefault="007B2EAB"/>
    <w:p w14:paraId="239D36BC" w14:textId="77777777" w:rsidR="007B2EAB" w:rsidRDefault="00C936F7">
      <w:r>
        <w:t>Otrā pīlāra fokuss ir makroekonomiskās stabilitātes, tiesiskuma un godīgas konkurences veicināšana, kā arī regulējuma nenoteiktība attīstības valstīs. PBG ir identificējusi piecus prioritāros sektorus investīciju un nodarbinātības veicināšanai attīstības valstīs:</w:t>
      </w:r>
    </w:p>
    <w:p w14:paraId="239D36BD" w14:textId="3BBEA0C0" w:rsidR="007B2EAB" w:rsidRDefault="00C936F7" w:rsidP="00F6770F">
      <w:pPr>
        <w:pStyle w:val="ListParagraph"/>
        <w:numPr>
          <w:ilvl w:val="0"/>
          <w:numId w:val="5"/>
        </w:numPr>
      </w:pPr>
      <w:r w:rsidRPr="00F6770F">
        <w:rPr>
          <w:u w:val="single"/>
        </w:rPr>
        <w:t>Infrastruktūra un enerģētika</w:t>
      </w:r>
      <w:r>
        <w:t>. Privātā sektora ieguldījumi enerģētikā un infrastruktūrā ir iespējami, ja pastāv stabila, caurskatāma un konkurētspējīga uzņēmējdarbības vide. Enerģētikā būtisks ir gan skaidrs un paredzams regulējums, gan komunālo pakalpojumu finanšu un darbības ilgtspēja, kas nodrošina investoru uzticību un ieguldījumu atdevi. PBG iniciatīva “</w:t>
      </w:r>
      <w:proofErr w:type="spellStart"/>
      <w:r>
        <w:t>Mission</w:t>
      </w:r>
      <w:proofErr w:type="spellEnd"/>
      <w:r>
        <w:t xml:space="preserve"> 300” Āfrikā apvieno politikas reformas, finansējumu un garantijas, lai līdz 2030. gadam nodrošinātu elektrību 300 miljoniem cilvēku un veicinātu ekonomisko izaugsmi. Plašākā mērogā konkurenci veicinošas reformas un digitālie risinājumi infrastruktūras nozarē samazina izmaksas, uzlabo pakalpojumu kvalitāti un veicina privātā kapitāla piesaisti.</w:t>
      </w:r>
    </w:p>
    <w:p w14:paraId="239D36BE" w14:textId="015421BD" w:rsidR="007B2EAB" w:rsidRDefault="00C936F7" w:rsidP="00F6770F">
      <w:pPr>
        <w:pStyle w:val="ListParagraph"/>
        <w:numPr>
          <w:ilvl w:val="0"/>
          <w:numId w:val="5"/>
        </w:numPr>
      </w:pPr>
      <w:r w:rsidRPr="00F6770F">
        <w:rPr>
          <w:u w:val="single"/>
        </w:rPr>
        <w:t>Lauksaimniecībā</w:t>
      </w:r>
      <w:r>
        <w:t xml:space="preserve"> privātā sektora investīciju piesaistei nepieciešams saskaņotu reformu kopums, kas ietver modernizētus standartus, stabilas īpašumtiesības uz zemi, subsīdiju pārvirzīšanu noturības un inovāciju veicināšanai, paredzamu tirdzniecības politiku  un riska mazināšanas mehānismus. Šo reformu īstenošana palīdz sadrumstalotus ražotājus iekļaut integrētās vērtību ķēdēs. Pasaules Banka norāda, ka mazajiem lauksaimniekiem un mikrouzņēmumiem būtiski ir pārvirzīt subsīdijas uz infrastruktūru un inovācijām, kā arī veicināt kooperatīvu attīstību, lai samazinātu izmaksas un palielinātu ražošanas apjomu. Tikmēr maziem, bet augošiem lauksaimniecības uzņēmumiem nepieciešamas drošas īpašumtiesības uz zemi, moderna un digitāla pārvaldība un prognozējama regulējošā vide, kas veicina ilgtermiņa ieguldījumus un atvieglo piekļuvi finansējumam. Savukārt lieliem un uz izaugsmi vērstiem uzņēmumiem ir būtiska sanitāro un fitosanitāro sistēmu stiprināšana un tirdzniecības politikas vienkāršošana, lai nodrošinātu piekļuvi lielākiem tirgiem un atbilstību globālajiem standartiem.</w:t>
      </w:r>
    </w:p>
    <w:p w14:paraId="239D36BF" w14:textId="2FFDB8E3" w:rsidR="007B2EAB" w:rsidRDefault="00C936F7" w:rsidP="00F6770F">
      <w:pPr>
        <w:pStyle w:val="ListParagraph"/>
        <w:numPr>
          <w:ilvl w:val="0"/>
          <w:numId w:val="5"/>
        </w:numPr>
      </w:pPr>
      <w:r w:rsidRPr="00F6770F">
        <w:rPr>
          <w:u w:val="single"/>
        </w:rPr>
        <w:lastRenderedPageBreak/>
        <w:t>Veselības aprūpe</w:t>
      </w:r>
      <w:r>
        <w:t xml:space="preserve"> ir viena no pasaulē lielākajām un straujāk augošajām nozarēm,  kas rada darbavietas pakalpojumu sniegšanā, ražošanā un loģistikā, vienlaikus stiprinot cilvēkkapitālu un veicinot ekonomikas izaugsmi. Regulējošie šķēršļi, tostarp sarežģītas zāļu reģistrācijas procedūras, nepietiekami veselības dati un stingri licencēšanas noteikumi kavē pakalpojumu sniedzēju ienākšanu tirgū un mērogošanu. Reformu rezultātā mazie uzņēmumi un digitālās veselības risinājumi varētu attīstīties straujāk, savukārt vidējo un lielo pakalpojumu sniedzēju izaugsmi veicina publiskās-privātās partnerības un stratēģiski pakalpojumu iepirkumi. Tas nodrošina stabilu pieprasījumu, paplašina pieejamību un veicina ieguldījumus veselības sistēmas kapacitātē.</w:t>
      </w:r>
    </w:p>
    <w:p w14:paraId="239D36C0" w14:textId="471DC891" w:rsidR="007B2EAB" w:rsidRDefault="00C936F7" w:rsidP="00F6770F">
      <w:pPr>
        <w:pStyle w:val="ListParagraph"/>
        <w:numPr>
          <w:ilvl w:val="0"/>
          <w:numId w:val="5"/>
        </w:numPr>
      </w:pPr>
      <w:r w:rsidRPr="00F6770F">
        <w:rPr>
          <w:u w:val="single"/>
        </w:rPr>
        <w:t>Tūrisms</w:t>
      </w:r>
      <w:r>
        <w:t xml:space="preserve"> rada darbavietas visā vērtību ķēdē un stimulē pieprasījumu citās nozarēs, taču tā izaugsmi bieži ierobežo sadrumstalota politika, neskaidras īpašumtiesības  uz zemi, un sarežģīti licencēšanas procesi. Nozares potenciāla veicināšanai nepieciešama skaidra pārvaldība, efektīva institucionālā koordinācija un vienkāršota licencēšana, kas īpaši atbalsta mikro un mazos uzņēmumus. Tikmēr vidējiem un uz izaugsmi vērstiem uzņēmumiem  izšķiroša ir regulējuma noteiktība un uzņēmējdarbības veikšanas vienkāršība, tostarp skaidri būvniecības un ārvalstu investīciju piesaistes noteikumi.</w:t>
      </w:r>
    </w:p>
    <w:p w14:paraId="239D36C1" w14:textId="1AB152FC" w:rsidR="007B2EAB" w:rsidRDefault="00C936F7" w:rsidP="00F6770F">
      <w:pPr>
        <w:pStyle w:val="ListParagraph"/>
        <w:numPr>
          <w:ilvl w:val="0"/>
          <w:numId w:val="5"/>
        </w:numPr>
      </w:pPr>
      <w:r w:rsidRPr="00F6770F">
        <w:rPr>
          <w:u w:val="single"/>
        </w:rPr>
        <w:t>Ražošana ar pievienoto vērtību</w:t>
      </w:r>
      <w:r>
        <w:t xml:space="preserve"> pārstrādā izejvielas modernās transporta un enerģētikas infrastruktūras komponentēs un spēj radīt labi apmaksātas darbavietas. Mazajiem ražotājiem būtiski ir vienkāršoti licencēšanas procesi, un labāka piekļuve finansējumam. Savukārt vidēju un lielāku uzņēmumu atbalstam nepieciešamas reformas, kas paplašina finansējuma iespējas, veicina risku mazināšanas instrumentu izmantošanu un integrāciju vērtību ķēdēs.</w:t>
      </w:r>
    </w:p>
    <w:p w14:paraId="239D36C2" w14:textId="77777777" w:rsidR="007B2EAB" w:rsidRDefault="007B2EAB"/>
    <w:p w14:paraId="239D36C3" w14:textId="77777777" w:rsidR="007B2EAB" w:rsidRDefault="00C936F7">
      <w:r>
        <w:t>Iekšējo resursu mobilizācija ir nodarbinātības politikas fiskālais pamats. Darbavietu radīšana un ilgtspējīga nodarbinātība ir tieši atkarīga no valsts spējas stabilā un paredzamā veidā finansēt infrastruktūru un nodrošināt pamatpakalpojumus. Tomēr daudzās attīstības valstīs nodokļu sistēmas joprojām ir vājas un regresīvas, kas ierobežo valsts kapacitāti veicināt iekļaujošu ekonomisko izaugsmi un nodarbinātības iespēju paplašināšanu. Tādēļ labāku nodarbinātības rezultātu sasniegšanai Pasaules Bankas atbalsts valstīm reformu īstenošanai ir nepieciešams ne tikai tirgus un uzņēmējdarbības vides jomā, bet arī nodokļu ieņēmumu stiprināšanā, īpaši veicinot efektīvas un progresīvas nodokļu sistēmas. Šī saikne starp nodarbinātības politiku un ilgtspējīgu fiskālo pamatu ir būtiska, lai nodrošinātu mērķtiecīgu un efektīvu Pasaules Bankas atbalstu attīstības valstīs.</w:t>
      </w:r>
    </w:p>
    <w:p w14:paraId="239D36C4" w14:textId="77777777" w:rsidR="007B2EAB" w:rsidRDefault="007B2EAB"/>
    <w:p w14:paraId="239D36C5" w14:textId="77777777" w:rsidR="007B2EAB" w:rsidRDefault="00C936F7">
      <w:r>
        <w:t xml:space="preserve">Digitālās tehnoloģijas un pieejams finansējums ir būtiski virzītājspēki darbavietu radīšanā, tomēr progresu kavē dārga infrastruktūra, vāja konkurence un ierobežota savienojamība. Reformas, kas modernizē datu pārvaldību un maksājumu sistēmas, kā arī uzlabo piekļuvi alternatīvajam finansējumam, palīdz mikro un mazajiem </w:t>
      </w:r>
      <w:r>
        <w:lastRenderedPageBreak/>
        <w:t>uzņēmumiem samazināt izmaksas un iesaistīties e-komercijā. Savukārt kapitāla tirgu padziļināšana, drošas maksātnespējas sistēmas un stipra finanšu uzraudzība palīdz vidējiem un lielajiem uzņēmumiem piesaistīt ilgtermiņa finansējumu, pārvaldīt riskus un investēt izaugsmē.</w:t>
      </w:r>
    </w:p>
    <w:p w14:paraId="239D36C6" w14:textId="77777777" w:rsidR="007B2EAB" w:rsidRDefault="007B2EAB"/>
    <w:p w14:paraId="239D36C7" w14:textId="77777777" w:rsidR="007B2EAB" w:rsidRDefault="00C936F7">
      <w:r>
        <w:t>PBG “Zināšanu bankas” pieeja apvieno PBG darbinieku zināšanas, ekspertīzi un kapacitāti gan valstu līmenī, gan globāli, tādējādi nodrošinot attīstības valstīm reformu atbalstu politiku veidošanā, institūciju stiprināšanā un investīciju piesaistē.</w:t>
      </w:r>
    </w:p>
    <w:p w14:paraId="239D36C8" w14:textId="77777777" w:rsidR="007B2EAB" w:rsidRDefault="007B2EAB"/>
    <w:p w14:paraId="239D36C9" w14:textId="77777777" w:rsidR="007B2EAB" w:rsidRDefault="00C936F7">
      <w:r>
        <w:rPr>
          <w:b/>
        </w:rPr>
        <w:t>II. Globālu satricinājumu un pārmaiņu pārvaldība</w:t>
      </w:r>
    </w:p>
    <w:p w14:paraId="239D36CA" w14:textId="77777777" w:rsidR="007B2EAB" w:rsidRDefault="007B2EAB"/>
    <w:p w14:paraId="239D36CB" w14:textId="43A86EAB" w:rsidR="007B2EAB" w:rsidRDefault="00C936F7">
      <w:r>
        <w:t>Globālā ekonomika ir parādījusi noturības spēju augstas nenoteiktības un atkārtotu satricinājumu</w:t>
      </w:r>
      <w:r w:rsidR="00690915">
        <w:t xml:space="preserve"> apstākļos</w:t>
      </w:r>
      <w:r>
        <w:t>, visvairāk ietekmējot nabadzīgākās un neaizsargātākās pasaules valstis. Krievijas karš Ukrainā un saspīlējums Tuvajos Austrumos rada nopietnus draudus pasaules ekonomikai, iznīcinot infrastruktūru, izraisot loģistikas traucējumus, kā arī paaugstinot enerģijas un mēslojuma cenas, kas apdraud pārtikas un enerģētikas drošību. Vienlaikus pasauli ietekmē straujas tehnoloģiskās, demogrāfiskās un vides pārmaiņas, kas rada gan iespējas produktivitātes pieaugumam, gan riskus darba tirgiem un sabiedrībai. Globālo satricinājumu sekas izpaužas caur piegādes ierobežojumiem, inflācijas spiedienu un stingrākiem finanšu nosacījumiem, kas kopā var būtiski samazināt ekonomisko aktivitāti, īpaši īstermiņā.</w:t>
      </w:r>
    </w:p>
    <w:p w14:paraId="239D36CC" w14:textId="77777777" w:rsidR="007B2EAB" w:rsidRDefault="007B2EAB"/>
    <w:p w14:paraId="239D36CD" w14:textId="2FAA6552" w:rsidR="007B2EAB" w:rsidRDefault="00C936F7">
      <w:r>
        <w:t xml:space="preserve">Ņemot vērā pastāvīgo un augsto nenoteiktības līmeni, valstīm ir būtiski pielāgot politikas. Valstis ar spēcīgu finanšu bāzi, stingriem politikas ietvariem, spēcīgām institūcijām, dinamisku privāto sektoru un elastīgu politikas veidošanu ir noturīgākas, kad satricinājumi atkārtojas. </w:t>
      </w:r>
      <w:r w:rsidR="00305917" w:rsidRPr="00CB499C">
        <w:t>Starptautiska</w:t>
      </w:r>
      <w:r w:rsidR="00D7646B" w:rsidRPr="00CB499C">
        <w:t>is</w:t>
      </w:r>
      <w:r w:rsidR="00305917" w:rsidRPr="00CB499C">
        <w:t xml:space="preserve"> Valūtas fond</w:t>
      </w:r>
      <w:r w:rsidR="00D7646B" w:rsidRPr="00CB499C">
        <w:t>s</w:t>
      </w:r>
      <w:r w:rsidR="00305917" w:rsidRPr="00CB499C">
        <w:t xml:space="preserve"> (</w:t>
      </w:r>
      <w:r w:rsidR="00E82DDF" w:rsidRPr="00CB499C">
        <w:t>turpmāk</w:t>
      </w:r>
      <w:r w:rsidR="00FA256C" w:rsidRPr="00CB499C">
        <w:t xml:space="preserve"> </w:t>
      </w:r>
      <w:r w:rsidR="00E82DDF" w:rsidRPr="00CB499C">
        <w:t xml:space="preserve">- </w:t>
      </w:r>
      <w:r w:rsidRPr="00CB499C">
        <w:t>SVF</w:t>
      </w:r>
      <w:r w:rsidR="00305917" w:rsidRPr="00CB499C">
        <w:t>)</w:t>
      </w:r>
      <w:r w:rsidRPr="00CB499C">
        <w:t xml:space="preserve"> </w:t>
      </w:r>
      <w:r w:rsidR="00E3696F">
        <w:t xml:space="preserve">ieteikumos dalībvalstīm </w:t>
      </w:r>
      <w:r w:rsidRPr="00CB499C">
        <w:t>izvirza šādas politikas prioritātes:</w:t>
      </w:r>
    </w:p>
    <w:p w14:paraId="239D36CE" w14:textId="6B17B512" w:rsidR="007B2EAB" w:rsidRDefault="00C936F7" w:rsidP="00F6770F">
      <w:pPr>
        <w:pStyle w:val="ListParagraph"/>
        <w:numPr>
          <w:ilvl w:val="0"/>
          <w:numId w:val="3"/>
        </w:numPr>
      </w:pPr>
      <w:r w:rsidRPr="00F6770F">
        <w:rPr>
          <w:u w:val="single"/>
        </w:rPr>
        <w:t>Monetārā un finanšu politika</w:t>
      </w:r>
      <w:r>
        <w:t xml:space="preserve">. Sagaidāms, ka konflikta Tuvajos Austrumos tūlītējā ietekme palielinās inflāciju un bremzēs </w:t>
      </w:r>
      <w:r w:rsidR="00690915">
        <w:t xml:space="preserve">globālās </w:t>
      </w:r>
      <w:r>
        <w:t>ekonomikas izaugsmi. Savukārt centrālajām bankām jāizvērtē, cik lielā mērā šo ietekmi var uzskatīt par pārejošu vai arī nepieciešama aktīvāka rīcība inflācijas ierobežošanai. Efektīva monetārā politika prasa rūpīgi sekot inflācijas prognozēm, skaidri komunicēt, ļaut valūtas kursam absorbēt šokus, kā arī stiprināt finanšu sektora uzraudzību un risku monitoringu, tostarp pastiprinot prasības nebanku finanšu starpniekiem un finanšu iestāžu kapitāla un likviditātes pietiekamībai.</w:t>
      </w:r>
    </w:p>
    <w:p w14:paraId="239D36CF" w14:textId="30561BF2" w:rsidR="007B2EAB" w:rsidRDefault="00C936F7" w:rsidP="00F6770F">
      <w:pPr>
        <w:pStyle w:val="ListParagraph"/>
        <w:numPr>
          <w:ilvl w:val="0"/>
          <w:numId w:val="3"/>
        </w:numPr>
      </w:pPr>
      <w:r w:rsidRPr="00F6770F">
        <w:rPr>
          <w:u w:val="single"/>
        </w:rPr>
        <w:t>Fiskālā politika</w:t>
      </w:r>
      <w:r>
        <w:t>. Lielākajā daļā valstu fiskālā telpa ir ievērojami sarukusi vairāku secīgu satricinājumu un nepietiekamas konsolidācijas dēļ, kā rezultātā valsts parāds un parāda apkalpošanas izmaksas ir augstas, bet fiskālās rīcības iespējas ierobežotas, īpaši zemu ienākumu valstīs ar samazinātu donoru atbalstu. Jauno satricinājumu apstākļos</w:t>
      </w:r>
      <w:r w:rsidR="00E3696F">
        <w:t xml:space="preserve"> Fonds iesaka nesteigties ar fiskā</w:t>
      </w:r>
      <w:r w:rsidR="00323F90">
        <w:t>lā</w:t>
      </w:r>
      <w:r w:rsidR="00E3696F">
        <w:t xml:space="preserve"> atbalsta sniegšanu, rūpīgi izvērtējot tā nepieciešamību.</w:t>
      </w:r>
      <w:r w:rsidR="008E560C">
        <w:t xml:space="preserve"> </w:t>
      </w:r>
      <w:r w:rsidR="00E3696F">
        <w:t>F</w:t>
      </w:r>
      <w:r>
        <w:t xml:space="preserve">iskālajiem pasākumiem jābalstās uz uzticamiem </w:t>
      </w:r>
      <w:r>
        <w:lastRenderedPageBreak/>
        <w:t>ietvariem, nodrošinot, ka jebkurš atbalsts ir īslaicīgs, mērķēts un budžetā neitrāls, vienlaikus cieši koordinējot to ar monetāro politiku.</w:t>
      </w:r>
    </w:p>
    <w:p w14:paraId="239D36D0" w14:textId="0ED92709" w:rsidR="007B2EAB" w:rsidRDefault="00C936F7" w:rsidP="00F6770F">
      <w:pPr>
        <w:pStyle w:val="ListParagraph"/>
        <w:numPr>
          <w:ilvl w:val="0"/>
          <w:numId w:val="3"/>
        </w:numPr>
      </w:pPr>
      <w:r w:rsidRPr="00F6770F">
        <w:rPr>
          <w:u w:val="single"/>
        </w:rPr>
        <w:t>Strukturālā un regulatīvā politika</w:t>
      </w:r>
      <w:r>
        <w:t xml:space="preserve">. Vidēja termiņa izaugsme ir izšķiroša visām valstīm, un to var veicināt tikai strukturālās reformas, kas stiprina privātā sektora investīcijas un produktivitāti, uzlabo uzņēmējdarbības vidi, modernizē darba tirgus, attīsta cilvēkkapitālu, stiprina konkurenci un pārvaldību, kā arī ievieš nepieciešamos drošības mehānismus. Jaunās tehnoloģijas, īpaši mākslīgais intelekts un digitālie finanšu risinājumi, paver būtiskas izaugsmes iespējas, taču rada arī riskus darba tirgiem, ienākumu </w:t>
      </w:r>
      <w:r w:rsidR="00E3696F">
        <w:t xml:space="preserve">nevienlīdzības pieaugumam </w:t>
      </w:r>
      <w:r>
        <w:t xml:space="preserve">un </w:t>
      </w:r>
      <w:r w:rsidR="00E3696F">
        <w:t xml:space="preserve">var </w:t>
      </w:r>
      <w:r>
        <w:t>apdraud</w:t>
      </w:r>
      <w:r w:rsidR="00E3696F">
        <w:t>ēt</w:t>
      </w:r>
      <w:r>
        <w:t xml:space="preserve"> finanšu stabilitāti</w:t>
      </w:r>
      <w:r w:rsidR="00E3696F">
        <w:t>.</w:t>
      </w:r>
      <w:r>
        <w:t xml:space="preserve"> </w:t>
      </w:r>
      <w:r w:rsidR="00E3696F">
        <w:t>T</w:t>
      </w:r>
      <w:r>
        <w:t>āpēc nepieciešama starptautiska sadarbība</w:t>
      </w:r>
      <w:r w:rsidR="00E3696F">
        <w:t xml:space="preserve">, </w:t>
      </w:r>
      <w:r w:rsidR="001B47E2">
        <w:t>pastāvīga</w:t>
      </w:r>
      <w:r w:rsidR="00E3696F">
        <w:t xml:space="preserve"> risku uzraudzība</w:t>
      </w:r>
      <w:r>
        <w:t xml:space="preserve"> un atbalsts attīstības valstīm, lai nodrošinātu, ka ieguvumi ir plaši pieejami.</w:t>
      </w:r>
    </w:p>
    <w:p w14:paraId="239D36D1" w14:textId="77777777" w:rsidR="007B2EAB" w:rsidRDefault="007B2EAB"/>
    <w:p w14:paraId="239D36D2" w14:textId="32F69A46" w:rsidR="007B2EAB" w:rsidRDefault="00C936F7">
      <w:r>
        <w:t xml:space="preserve">Starptautiskā koordinācija ir būtiska, lai risinātu satricinājumus un globālos izaicinājumus, īpaši attiecībā uz tirdzniecību, </w:t>
      </w:r>
      <w:r w:rsidR="001B47E2">
        <w:t xml:space="preserve">globālo nelīdzsvarotību un </w:t>
      </w:r>
      <w:r>
        <w:t>parāda ilgtspēju, kas nepārdomātas rīcības gadījumā var radīt būtiskus riskus. Zemu ienākumu, nestabilām un konfliktu skartām valstīm joprojām nepieciešams atbalsts gan parāda restrukturizācijā, gan stabilitātes un izaugsmes nodrošināšanā.</w:t>
      </w:r>
    </w:p>
    <w:p w14:paraId="239D36D3" w14:textId="77777777" w:rsidR="007B2EAB" w:rsidRDefault="007B2EAB"/>
    <w:p w14:paraId="239D36D4" w14:textId="77777777" w:rsidR="007B2EAB" w:rsidRDefault="00C936F7">
      <w:r>
        <w:t>SVF turpina darbu pie vidēja termiņa prioritāšu īstenošanas, izmantojot tā galvenos instrumentus:</w:t>
      </w:r>
    </w:p>
    <w:p w14:paraId="239D36D5" w14:textId="5CB8CFC0" w:rsidR="007B2EAB" w:rsidRDefault="00C936F7" w:rsidP="00F6770F">
      <w:pPr>
        <w:pStyle w:val="ListParagraph"/>
        <w:numPr>
          <w:ilvl w:val="0"/>
          <w:numId w:val="1"/>
        </w:numPr>
      </w:pPr>
      <w:r w:rsidRPr="00F6770F">
        <w:rPr>
          <w:u w:val="single"/>
        </w:rPr>
        <w:t>Uzraudzības pilnveide</w:t>
      </w:r>
      <w:r>
        <w:t>, nodrošinot detalizētāku un pielāgotāku politikas atbalstu,</w:t>
      </w:r>
      <w:r w:rsidR="00F6770F">
        <w:t xml:space="preserve"> </w:t>
      </w:r>
      <w:r>
        <w:t>spēcīgāku risku novērtējumu un modernizētus procesus, kā arī sniedzot visaptverošu ārējā sektora nelīdzsvarotību un ietekmes analīzi.</w:t>
      </w:r>
    </w:p>
    <w:p w14:paraId="239D36D6" w14:textId="4A84DD26" w:rsidR="007B2EAB" w:rsidRDefault="00C936F7" w:rsidP="00F6770F">
      <w:pPr>
        <w:pStyle w:val="ListParagraph"/>
        <w:numPr>
          <w:ilvl w:val="0"/>
          <w:numId w:val="1"/>
        </w:numPr>
      </w:pPr>
      <w:r w:rsidRPr="00F6770F">
        <w:rPr>
          <w:u w:val="single"/>
        </w:rPr>
        <w:t>Parāda problēmu risināšana</w:t>
      </w:r>
      <w:r>
        <w:t>, palīdzot politikas veidotājiem stiprināt pārvaldību un caurskatāmību parāda vadībā.</w:t>
      </w:r>
    </w:p>
    <w:p w14:paraId="239D36D7" w14:textId="2FB70DD8" w:rsidR="007B2EAB" w:rsidRDefault="00C936F7" w:rsidP="00F6770F">
      <w:pPr>
        <w:pStyle w:val="ListParagraph"/>
        <w:numPr>
          <w:ilvl w:val="0"/>
          <w:numId w:val="1"/>
        </w:numPr>
      </w:pPr>
      <w:r w:rsidRPr="00F6770F">
        <w:rPr>
          <w:u w:val="single"/>
        </w:rPr>
        <w:t>Kreditēšanas instrumentu stiprināšana</w:t>
      </w:r>
      <w:r>
        <w:t>, pārskatot programmu dizainu un nosacījumus, lai pilnveidotu to efektivitāti.</w:t>
      </w:r>
    </w:p>
    <w:p w14:paraId="239D36D8" w14:textId="069A982C" w:rsidR="007B2EAB" w:rsidRDefault="00C936F7" w:rsidP="00F6770F">
      <w:pPr>
        <w:pStyle w:val="ListParagraph"/>
        <w:numPr>
          <w:ilvl w:val="0"/>
          <w:numId w:val="1"/>
        </w:numPr>
      </w:pPr>
      <w:r w:rsidRPr="00F6770F">
        <w:rPr>
          <w:u w:val="single"/>
        </w:rPr>
        <w:t>Kapacitātes attīstības stiprināšana</w:t>
      </w:r>
      <w:r>
        <w:t>, pielāgojot to dalībvalstu vajadzībām, vienlaikus stiprinot uzraudzības un aizdošanas pasākumus.</w:t>
      </w:r>
    </w:p>
    <w:p w14:paraId="239D36D9" w14:textId="69B146D7" w:rsidR="007B2EAB" w:rsidRDefault="00C936F7" w:rsidP="00F6770F">
      <w:pPr>
        <w:pStyle w:val="ListParagraph"/>
        <w:numPr>
          <w:ilvl w:val="0"/>
          <w:numId w:val="1"/>
        </w:numPr>
      </w:pPr>
      <w:r w:rsidRPr="00F6770F">
        <w:rPr>
          <w:u w:val="single"/>
        </w:rPr>
        <w:t xml:space="preserve">SVF </w:t>
      </w:r>
      <w:r w:rsidR="00E3696F">
        <w:rPr>
          <w:u w:val="single"/>
        </w:rPr>
        <w:t>pārvaldības princip</w:t>
      </w:r>
      <w:r w:rsidR="001B47E2">
        <w:rPr>
          <w:u w:val="single"/>
        </w:rPr>
        <w:t>u pilnveide</w:t>
      </w:r>
      <w:r w:rsidR="00E3696F">
        <w:rPr>
          <w:u w:val="single"/>
        </w:rPr>
        <w:t xml:space="preserve"> un </w:t>
      </w:r>
      <w:r w:rsidRPr="00F6770F">
        <w:rPr>
          <w:u w:val="single"/>
        </w:rPr>
        <w:t>darbības stiprināšana</w:t>
      </w:r>
      <w:r>
        <w:t xml:space="preserve">, turpinot darbu pie SVF 16. vispārējā kvotu pārskata </w:t>
      </w:r>
      <w:r w:rsidR="00690915">
        <w:t>ieviešanas</w:t>
      </w:r>
      <w:r>
        <w:t>, turpmāko kvotu un pārvaldības reformu principu izstrādes, organizatorisko risku pārvaldības uzlabošanas, procesu optimizācijas un atbildīgas mākslīgā intelekta izmantošanas, vienlaikus stiprinot augsti kvalificēta personāla piesaisti un noturēšanu.</w:t>
      </w:r>
    </w:p>
    <w:p w14:paraId="76F3FEEE" w14:textId="77777777" w:rsidR="005223F3" w:rsidRDefault="005223F3" w:rsidP="005223F3"/>
    <w:p w14:paraId="026B5EB3" w14:textId="77777777" w:rsidR="005223F3" w:rsidRDefault="005223F3" w:rsidP="005223F3"/>
    <w:tbl>
      <w:tblPr>
        <w:tblW w:w="9642" w:type="dxa"/>
        <w:tblLayout w:type="fixed"/>
        <w:tblLook w:val="0600" w:firstRow="0" w:lastRow="0" w:firstColumn="0" w:lastColumn="0" w:noHBand="1" w:noVBand="1"/>
      </w:tblPr>
      <w:tblGrid>
        <w:gridCol w:w="2721"/>
        <w:gridCol w:w="4200"/>
        <w:gridCol w:w="2721"/>
      </w:tblGrid>
      <w:tr w:rsidR="005223F3" w:rsidRPr="00A21687" w14:paraId="404DC811" w14:textId="77777777" w:rsidTr="00D047C5">
        <w:tc>
          <w:tcPr>
            <w:tcW w:w="2721" w:type="dxa"/>
            <w:shd w:val="clear" w:color="auto" w:fill="FFFFFF"/>
            <w:noWrap/>
            <w:tcMar>
              <w:top w:w="0" w:type="dxa"/>
              <w:left w:w="0" w:type="dxa"/>
              <w:bottom w:w="0" w:type="dxa"/>
              <w:right w:w="0" w:type="dxa"/>
            </w:tcMar>
            <w:vAlign w:val="center"/>
          </w:tcPr>
          <w:p w14:paraId="4D121DD9" w14:textId="77777777" w:rsidR="005223F3" w:rsidRPr="00A21687" w:rsidRDefault="005223F3" w:rsidP="00D047C5">
            <w:pPr>
              <w:jc w:val="left"/>
            </w:pPr>
            <w:r w:rsidRPr="00A21687">
              <w:t>Ministrs</w:t>
            </w:r>
          </w:p>
        </w:tc>
        <w:tc>
          <w:tcPr>
            <w:tcW w:w="4200" w:type="dxa"/>
            <w:shd w:val="clear" w:color="auto" w:fill="FFFFFF"/>
            <w:noWrap/>
            <w:tcMar>
              <w:top w:w="0" w:type="dxa"/>
              <w:left w:w="0" w:type="dxa"/>
              <w:bottom w:w="0" w:type="dxa"/>
              <w:right w:w="0" w:type="dxa"/>
            </w:tcMar>
            <w:vAlign w:val="center"/>
          </w:tcPr>
          <w:p w14:paraId="4B0FF981" w14:textId="6ADB6C85" w:rsidR="005223F3" w:rsidRPr="00A21687" w:rsidRDefault="005223F3" w:rsidP="00D047C5">
            <w:pPr>
              <w:jc w:val="center"/>
            </w:pPr>
            <w:r w:rsidRPr="00A21687">
              <w:rPr>
                <w:sz w:val="24"/>
              </w:rPr>
              <w:t>(paraksts*)</w:t>
            </w:r>
          </w:p>
        </w:tc>
        <w:tc>
          <w:tcPr>
            <w:tcW w:w="2721" w:type="dxa"/>
            <w:shd w:val="clear" w:color="auto" w:fill="FFFFFF"/>
            <w:noWrap/>
            <w:tcMar>
              <w:top w:w="0" w:type="dxa"/>
              <w:left w:w="0" w:type="dxa"/>
              <w:bottom w:w="0" w:type="dxa"/>
              <w:right w:w="0" w:type="dxa"/>
            </w:tcMar>
            <w:vAlign w:val="center"/>
          </w:tcPr>
          <w:p w14:paraId="3EE3B2C3" w14:textId="77777777" w:rsidR="005223F3" w:rsidRPr="00A21687" w:rsidRDefault="005223F3" w:rsidP="00D047C5">
            <w:pPr>
              <w:jc w:val="right"/>
            </w:pPr>
            <w:r w:rsidRPr="00A21687">
              <w:t>V. Uzvārds</w:t>
            </w:r>
          </w:p>
        </w:tc>
      </w:tr>
    </w:tbl>
    <w:p w14:paraId="7B415EB6" w14:textId="77777777" w:rsidR="007B11D3" w:rsidRPr="00A21687" w:rsidRDefault="007B11D3" w:rsidP="005223F3">
      <w:pPr>
        <w:ind w:left="705"/>
        <w:rPr>
          <w:sz w:val="24"/>
        </w:rPr>
      </w:pPr>
    </w:p>
    <w:p w14:paraId="36154566" w14:textId="7EDF18AF" w:rsidR="005223F3" w:rsidRDefault="005223F3" w:rsidP="005223F3">
      <w:pPr>
        <w:ind w:left="705"/>
      </w:pPr>
      <w:r w:rsidRPr="00A21687">
        <w:rPr>
          <w:sz w:val="24"/>
        </w:rPr>
        <w:t>* Dokuments ir parakstīts ar TAP portāla elektroniskās parakstīšanas rīku</w:t>
      </w:r>
    </w:p>
    <w:p w14:paraId="2005D833" w14:textId="77777777" w:rsidR="005223F3" w:rsidRDefault="005223F3" w:rsidP="005223F3"/>
    <w:sectPr w:rsidR="005223F3">
      <w:headerReference w:type="default"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B2D0F" w14:textId="77777777" w:rsidR="0059492F" w:rsidRDefault="0059492F">
      <w:r>
        <w:separator/>
      </w:r>
    </w:p>
  </w:endnote>
  <w:endnote w:type="continuationSeparator" w:id="0">
    <w:p w14:paraId="5F3C3893" w14:textId="77777777" w:rsidR="0059492F" w:rsidRDefault="0059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3774" w14:textId="5770DE8A" w:rsidR="007B2EAB" w:rsidRDefault="00C936F7">
    <w:pPr>
      <w:jc w:val="center"/>
    </w:pPr>
    <w:r>
      <w:rPr>
        <w:b/>
        <w:sz w:val="24"/>
        <w:szCs w:val="24"/>
      </w:rPr>
      <w:t>IEROBEŽOTA</w:t>
    </w:r>
    <w:r w:rsidR="001A63E1">
      <w:rPr>
        <w:b/>
        <w:sz w:val="24"/>
        <w:szCs w:val="24"/>
      </w:rPr>
      <w:t>S</w:t>
    </w:r>
    <w:r>
      <w:rPr>
        <w:b/>
        <w:sz w:val="24"/>
        <w:szCs w:val="24"/>
      </w:rPr>
      <w:t xml:space="preserve"> PIEEJAMĪBA</w:t>
    </w:r>
    <w:r w:rsidR="001A63E1">
      <w:rPr>
        <w:b/>
        <w:sz w:val="24"/>
        <w:szCs w:val="24"/>
      </w:rPr>
      <w:t>S INFORMĀCIJA</w:t>
    </w:r>
  </w:p>
  <w:p w14:paraId="239D3775" w14:textId="77777777" w:rsidR="00C936F7" w:rsidRDefault="00C936F7">
    <w:pPr>
      <w:jc w:val="right"/>
    </w:pPr>
  </w:p>
  <w:p w14:paraId="364D631D" w14:textId="1EB07164" w:rsidR="007B2EAB" w:rsidRDefault="00C936F7">
    <w:pPr>
      <w:jc w:val="right"/>
    </w:pPr>
    <w:r>
      <w:rPr>
        <w:sz w:val="24"/>
        <w:szCs w:val="24"/>
      </w:rPr>
      <w:fldChar w:fldCharType="begin"/>
    </w:r>
    <w:r>
      <w:rPr>
        <w:sz w:val="24"/>
        <w:szCs w:val="24"/>
      </w:rPr>
      <w:instrText>PAGE</w:instrText>
    </w:r>
    <w:r>
      <w:rPr>
        <w:sz w:val="24"/>
        <w:szCs w:val="24"/>
      </w:rPr>
      <w:fldChar w:fldCharType="separate"/>
    </w:r>
    <w:r w:rsidR="004B283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3778" w14:textId="2C1F42DB" w:rsidR="007B2EAB" w:rsidRDefault="000661CA">
    <w:pPr>
      <w:jc w:val="center"/>
    </w:pPr>
    <w:r>
      <w:rPr>
        <w:b/>
        <w:sz w:val="24"/>
        <w:szCs w:val="24"/>
      </w:rPr>
      <w:t xml:space="preserve">IEROBEŽOTAS PIEEJAMĪBAS </w:t>
    </w:r>
    <w:r w:rsidR="001A63E1">
      <w:rPr>
        <w:b/>
        <w:sz w:val="24"/>
        <w:szCs w:val="24"/>
      </w:rPr>
      <w:t>INFORMĀCIJA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9D448" w14:textId="77777777" w:rsidR="0059492F" w:rsidRDefault="0059492F">
      <w:r>
        <w:separator/>
      </w:r>
    </w:p>
  </w:footnote>
  <w:footnote w:type="continuationSeparator" w:id="0">
    <w:p w14:paraId="78E7BC9E" w14:textId="77777777" w:rsidR="0059492F" w:rsidRDefault="00594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3772" w14:textId="1249E429" w:rsidR="007B2EAB" w:rsidRDefault="00C936F7">
    <w:pPr>
      <w:spacing w:after="240"/>
      <w:jc w:val="center"/>
      <w:rPr>
        <w:b/>
        <w:sz w:val="24"/>
      </w:rPr>
    </w:pPr>
    <w:r>
      <w:rPr>
        <w:b/>
        <w:sz w:val="24"/>
      </w:rPr>
      <w:t>IEROBEŽOTA</w:t>
    </w:r>
    <w:r w:rsidR="00EF51F1">
      <w:rPr>
        <w:b/>
        <w:sz w:val="24"/>
      </w:rPr>
      <w:t>S</w:t>
    </w:r>
    <w:r>
      <w:rPr>
        <w:b/>
        <w:sz w:val="24"/>
      </w:rPr>
      <w:t xml:space="preserve"> PIEEJAMĪBA</w:t>
    </w:r>
    <w:r w:rsidR="00EF51F1">
      <w:rPr>
        <w:b/>
        <w:sz w:val="24"/>
      </w:rPr>
      <w:t>S INFORMĀCIJA</w:t>
    </w:r>
  </w:p>
  <w:p w14:paraId="239D3773" w14:textId="6287FC0C" w:rsidR="007B2EAB" w:rsidRDefault="007B2EAB">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3776" w14:textId="7D42BF4C" w:rsidR="007B2EAB" w:rsidRDefault="00C936F7">
    <w:pPr>
      <w:spacing w:after="240"/>
      <w:jc w:val="center"/>
      <w:rPr>
        <w:b/>
        <w:sz w:val="24"/>
      </w:rPr>
    </w:pPr>
    <w:r w:rsidRPr="00CB499C">
      <w:rPr>
        <w:b/>
        <w:sz w:val="24"/>
      </w:rPr>
      <w:t>IEROBEŽOTA</w:t>
    </w:r>
    <w:r w:rsidR="00EF51F1" w:rsidRPr="00CB499C">
      <w:rPr>
        <w:b/>
        <w:sz w:val="24"/>
      </w:rPr>
      <w:t>S</w:t>
    </w:r>
    <w:r w:rsidRPr="00CB499C">
      <w:rPr>
        <w:b/>
        <w:sz w:val="24"/>
      </w:rPr>
      <w:t xml:space="preserve"> PIEEJAMĪBA</w:t>
    </w:r>
    <w:r w:rsidR="00EF51F1" w:rsidRPr="00CB499C">
      <w:rPr>
        <w:b/>
        <w:sz w:val="24"/>
      </w:rPr>
      <w:t>S INFORMĀCIJA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4CD"/>
    <w:multiLevelType w:val="hybridMultilevel"/>
    <w:tmpl w:val="93CEADA8"/>
    <w:lvl w:ilvl="0" w:tplc="7F00C288">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30068E5"/>
    <w:multiLevelType w:val="hybridMultilevel"/>
    <w:tmpl w:val="3482D9BE"/>
    <w:lvl w:ilvl="0" w:tplc="9432C342">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E62DF0"/>
    <w:multiLevelType w:val="hybridMultilevel"/>
    <w:tmpl w:val="C3F8B322"/>
    <w:lvl w:ilvl="0" w:tplc="83EC54C0">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DA2A64"/>
    <w:multiLevelType w:val="hybridMultilevel"/>
    <w:tmpl w:val="F968C02E"/>
    <w:lvl w:ilvl="0" w:tplc="54F6ED9C">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5C98735A"/>
    <w:multiLevelType w:val="hybridMultilevel"/>
    <w:tmpl w:val="951CCE2E"/>
    <w:lvl w:ilvl="0" w:tplc="5876038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7D1F5F9C"/>
    <w:multiLevelType w:val="hybridMultilevel"/>
    <w:tmpl w:val="BCD27402"/>
    <w:lvl w:ilvl="0" w:tplc="83EED338">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748998">
    <w:abstractNumId w:val="0"/>
  </w:num>
  <w:num w:numId="2" w16cid:durableId="2051804986">
    <w:abstractNumId w:val="1"/>
  </w:num>
  <w:num w:numId="3" w16cid:durableId="857811468">
    <w:abstractNumId w:val="3"/>
  </w:num>
  <w:num w:numId="4" w16cid:durableId="1503934218">
    <w:abstractNumId w:val="2"/>
  </w:num>
  <w:num w:numId="5" w16cid:durableId="1424062507">
    <w:abstractNumId w:val="4"/>
  </w:num>
  <w:num w:numId="6" w16cid:durableId="2061319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988"/>
    <w:rsid w:val="00012F01"/>
    <w:rsid w:val="00042E71"/>
    <w:rsid w:val="000661CA"/>
    <w:rsid w:val="00075D2F"/>
    <w:rsid w:val="00095D73"/>
    <w:rsid w:val="00186516"/>
    <w:rsid w:val="001A63E1"/>
    <w:rsid w:val="001A67C7"/>
    <w:rsid w:val="001B47E2"/>
    <w:rsid w:val="00212747"/>
    <w:rsid w:val="002636D5"/>
    <w:rsid w:val="0026607F"/>
    <w:rsid w:val="002A06E1"/>
    <w:rsid w:val="00305917"/>
    <w:rsid w:val="00323F90"/>
    <w:rsid w:val="00356E43"/>
    <w:rsid w:val="00357AF7"/>
    <w:rsid w:val="00401703"/>
    <w:rsid w:val="00416935"/>
    <w:rsid w:val="00444988"/>
    <w:rsid w:val="00482371"/>
    <w:rsid w:val="00487BB2"/>
    <w:rsid w:val="004B2834"/>
    <w:rsid w:val="005223F3"/>
    <w:rsid w:val="00542D6A"/>
    <w:rsid w:val="0057188E"/>
    <w:rsid w:val="005828C6"/>
    <w:rsid w:val="00587078"/>
    <w:rsid w:val="00591FFD"/>
    <w:rsid w:val="0059492F"/>
    <w:rsid w:val="00595CC6"/>
    <w:rsid w:val="005A5646"/>
    <w:rsid w:val="005F7EBA"/>
    <w:rsid w:val="00690915"/>
    <w:rsid w:val="00697538"/>
    <w:rsid w:val="006A344B"/>
    <w:rsid w:val="006B2B24"/>
    <w:rsid w:val="00775C04"/>
    <w:rsid w:val="00784A85"/>
    <w:rsid w:val="007B11D3"/>
    <w:rsid w:val="007B2EAB"/>
    <w:rsid w:val="007B38A3"/>
    <w:rsid w:val="007D145F"/>
    <w:rsid w:val="008079F7"/>
    <w:rsid w:val="008E560C"/>
    <w:rsid w:val="008F2C46"/>
    <w:rsid w:val="00906CBE"/>
    <w:rsid w:val="00923676"/>
    <w:rsid w:val="009336E5"/>
    <w:rsid w:val="00945610"/>
    <w:rsid w:val="009532EB"/>
    <w:rsid w:val="009B6E90"/>
    <w:rsid w:val="009C21CB"/>
    <w:rsid w:val="009D6E4E"/>
    <w:rsid w:val="00A16AB9"/>
    <w:rsid w:val="00A21687"/>
    <w:rsid w:val="00A70514"/>
    <w:rsid w:val="00AA4EE8"/>
    <w:rsid w:val="00AC3455"/>
    <w:rsid w:val="00AD66F5"/>
    <w:rsid w:val="00B17C0B"/>
    <w:rsid w:val="00BC5A6C"/>
    <w:rsid w:val="00BF6621"/>
    <w:rsid w:val="00C00972"/>
    <w:rsid w:val="00C02D55"/>
    <w:rsid w:val="00C228D0"/>
    <w:rsid w:val="00C31006"/>
    <w:rsid w:val="00C4371C"/>
    <w:rsid w:val="00C64BAF"/>
    <w:rsid w:val="00C760DF"/>
    <w:rsid w:val="00C936F7"/>
    <w:rsid w:val="00CB2651"/>
    <w:rsid w:val="00CB499C"/>
    <w:rsid w:val="00D51AE3"/>
    <w:rsid w:val="00D7646B"/>
    <w:rsid w:val="00E3696F"/>
    <w:rsid w:val="00E628EB"/>
    <w:rsid w:val="00E634A2"/>
    <w:rsid w:val="00E82DDF"/>
    <w:rsid w:val="00EF4C19"/>
    <w:rsid w:val="00EF51F1"/>
    <w:rsid w:val="00F6770F"/>
    <w:rsid w:val="00F724E2"/>
    <w:rsid w:val="00F92F4B"/>
    <w:rsid w:val="00FA256C"/>
    <w:rsid w:val="00FA435F"/>
    <w:rsid w:val="00FE32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784A85"/>
    <w:pPr>
      <w:tabs>
        <w:tab w:val="center" w:pos="4153"/>
        <w:tab w:val="right" w:pos="8306"/>
      </w:tabs>
    </w:pPr>
  </w:style>
  <w:style w:type="character" w:customStyle="1" w:styleId="FooterChar">
    <w:name w:val="Footer Char"/>
    <w:basedOn w:val="DefaultParagraphFont"/>
    <w:link w:val="Footer"/>
    <w:uiPriority w:val="99"/>
    <w:rsid w:val="00784A85"/>
  </w:style>
  <w:style w:type="paragraph" w:styleId="ListParagraph">
    <w:name w:val="List Paragraph"/>
    <w:basedOn w:val="Normal"/>
    <w:uiPriority w:val="34"/>
    <w:qFormat/>
    <w:rsid w:val="00F6770F"/>
    <w:pPr>
      <w:ind w:left="720"/>
      <w:contextualSpacing/>
    </w:pPr>
  </w:style>
  <w:style w:type="paragraph" w:styleId="Revision">
    <w:name w:val="Revision"/>
    <w:hidden/>
    <w:uiPriority w:val="99"/>
    <w:semiHidden/>
    <w:rsid w:val="00E3696F"/>
    <w:pPr>
      <w:jc w:val="left"/>
    </w:pPr>
  </w:style>
  <w:style w:type="character" w:styleId="CommentReference">
    <w:name w:val="annotation reference"/>
    <w:basedOn w:val="DefaultParagraphFont"/>
    <w:uiPriority w:val="99"/>
    <w:semiHidden/>
    <w:unhideWhenUsed/>
    <w:rsid w:val="00690915"/>
    <w:rPr>
      <w:sz w:val="16"/>
      <w:szCs w:val="16"/>
    </w:rPr>
  </w:style>
  <w:style w:type="paragraph" w:styleId="CommentText">
    <w:name w:val="annotation text"/>
    <w:basedOn w:val="Normal"/>
    <w:link w:val="CommentTextChar"/>
    <w:uiPriority w:val="99"/>
    <w:unhideWhenUsed/>
    <w:rsid w:val="00690915"/>
    <w:rPr>
      <w:sz w:val="20"/>
    </w:rPr>
  </w:style>
  <w:style w:type="character" w:customStyle="1" w:styleId="CommentTextChar">
    <w:name w:val="Comment Text Char"/>
    <w:basedOn w:val="DefaultParagraphFont"/>
    <w:link w:val="CommentText"/>
    <w:uiPriority w:val="99"/>
    <w:rsid w:val="00690915"/>
    <w:rPr>
      <w:sz w:val="20"/>
    </w:rPr>
  </w:style>
  <w:style w:type="paragraph" w:styleId="CommentSubject">
    <w:name w:val="annotation subject"/>
    <w:basedOn w:val="CommentText"/>
    <w:next w:val="CommentText"/>
    <w:link w:val="CommentSubjectChar"/>
    <w:uiPriority w:val="99"/>
    <w:semiHidden/>
    <w:unhideWhenUsed/>
    <w:rsid w:val="00690915"/>
    <w:rPr>
      <w:b/>
      <w:bCs/>
    </w:rPr>
  </w:style>
  <w:style w:type="character" w:customStyle="1" w:styleId="CommentSubjectChar">
    <w:name w:val="Comment Subject Char"/>
    <w:basedOn w:val="CommentTextChar"/>
    <w:link w:val="CommentSubject"/>
    <w:uiPriority w:val="99"/>
    <w:semiHidden/>
    <w:rsid w:val="0069091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4336B-448E-4F30-B57A-ABB16A2C5E4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1297</Words>
  <Characters>9756</Characters>
  <Application>Microsoft Office Word</Application>
  <DocSecurity>0</DocSecurity>
  <Lines>168</Lines>
  <Paragraphs>33</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2026-04-01T09:21:00Z</dcterms:created>
  <dcterms:modified xsi:type="dcterms:W3CDTF">2026-04-01T14:37:00Z</dcterms:modified>
</cp:coreProperties>
</file>