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noteikumu projekts) ir izstrādāts pēc Vides aizsardzības un reģionālās attīstības ministrijas (turpmāk - VARAM) kā Eiropas Savienības (turpmāk – ES) fondu atbildīgās iestādes iniciatīvas, ievērojot Eiropas Savienības fondu 2021.–2027. gada plānošanas perioda vadības likuma 19. panta 13. punktu, kas nosaka Ministru kabinetam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regulējumu, kas ir atbilstošs izmaiņām starptautiskajos normatīvajos tiesību aktos attiecībā uz </w:t>
      </w:r>
      <w:r w:rsidR="00000000" w:rsidRPr="00000000" w:rsidDel="00000000">
        <w:rPr>
          <w:i w:val="1"/>
          <w:rtl w:val="0"/>
        </w:rPr>
        <w:t xml:space="preserve">de minimis</w:t>
      </w:r>
      <w:r w:rsidR="00000000" w:rsidRPr="00000000" w:rsidDel="00000000">
        <w:rPr>
          <w:rtl w:val="0"/>
        </w:rPr>
        <w:t xml:space="preserve"> atbalsta nosacījumiem un izmaiņām Saimniecisko darbību statistiskās klasifikācijā, vienlaikus paredzot izmaiņas, kas veicinātu ieguldījumu straujāku ienākšanu tautsaimniecībā un Eiropas Komisijas noteiktā ikgadēji deklarējamo izdevumu minimālā mērķa (turpmāk – n+3 princips) izpildi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MK noteikumi Nr. 55)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noteikts, ka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atbalsts tiek sniegts atbilstoši Eiropas Komisijas 2013. gada 18.decembra Regulai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Nr.1407/2013). 2024. gada 1. janvārī stājās spēkā Eiropas Komisijas 2023. gada 13. decembra Regula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kas aizvieto līdz šim spēkā esošo Regulu Nr. 1407/2013, uz kuru ir atsauce MK noteikumos Nr. 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iekļautas normas un atsauces atbilstoši Saimniecisko darbību statistiskās klasifikācijas Eiropas Kopienā 2. redakcijai (NACE 2. red.). Ar 2025. gada 1. janvāri tiks uzsākta Eiropas Komisijas (</w:t>
      </w:r>
      <w:r w:rsidR="00000000" w:rsidRPr="00000000" w:rsidDel="00000000">
        <w:rPr>
          <w:i w:val="1"/>
          <w:rtl w:val="0"/>
        </w:rPr>
        <w:t xml:space="preserve">Eurostat</w:t>
      </w:r>
      <w:r w:rsidR="00000000" w:rsidRPr="00000000" w:rsidDel="00000000">
        <w:rPr>
          <w:rtl w:val="0"/>
        </w:rPr>
        <w:t xml:space="preserve">) izstrādātā jaunā Saimniecisko darbību statistiskās klasifikācijas Eiropas Kopienā 2.1. redakcijas (turpmāk – NACE 2.1. red.) lietošana, kas ir apstiprināta ar Eiropas Komisijas 2022. gada 10. oktobra Deleģēto Regulu (ES) 2023/137, ar kuru groza Eiropas Parlamenta un Padomes Regulu (EK) Nr. 1893/2006, ar ko izveido NACE 2. red. saimniecisko darbību statistisko klasifikāciju (turpmāk – Regula Nr.2023/137), un paredz izmaiņas NACE kodu klasifikācijā salīdzinājumā ar esošo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ka tiesības veikt projekta ieguldījumus zemes īpašumā ir jānostiprina zemesgrāmatās līdz civiltiesiskā līguma vai vienošanās par projekta īstenošanu noslēgšanai, kā rezultātā var aizkavēties projektu īstenošanas uzsākšana, t.sk. kompleksajos projektos plānoto citu darbību īstenošana, kas nav saistīta ar ieguldījumiem attiecīgajā zemes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noteikts, ka līgumā par apbūves tiesību jāparedz nosacījums komersantam kā projekta sadarbības partnerim izpirkt publiskās personas zemes īpašumu. Saskaņā ar Civillikuma 1129.</w:t>
      </w:r>
      <w:r w:rsidR="00000000" w:rsidRPr="00000000" w:rsidDel="00000000">
        <w:rPr>
          <w:vertAlign w:val="superscript"/>
          <w:rtl w:val="0"/>
        </w:rPr>
        <w:t xml:space="preserve">1</w:t>
      </w:r>
      <w:r w:rsidR="00000000" w:rsidRPr="00000000" w:rsidDel="00000000">
        <w:rPr>
          <w:rtl w:val="0"/>
        </w:rPr>
        <w:t xml:space="preserve"> panta otro daļu uz apbūves tiesību neattiecas pirmpirkuma un izpirkuma tiesība, līdz ar to, neatkarīgi no apbūves tiesības līguma publiskas personas zemes īpašumu nepieciešams pārdot publiskā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plānoto grozījumu apstiprināšana ir nepieciešama pēc iespējas ātrāk, lai noteikumu projektā iekļautos labvēlīgākos nosacījumus projektu iesniedzējiem un sadarbības partneriem varētu piemērot ES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(turpmāk - 5.1.1.1. pasākums) otrās atlases kārtas pirmajam uzsaukumam, kurš ir izsludināts 2024. gada 21. februārī un kurā projektu iesniegumu iesniegšana plānota līdz 2024. gada 21. jūnijam, tādējādi paātrinot ieguldījumu ienākšanu tautsaimniecībā un n+3 principa izpildi kopumā. Projektu iesniedzēji ir uzsākuši aktīvu darbu pie projektu iesniegumu sagatavošanas, tai skaitā projektu darbību plānošanas, projektēšanas, iepirkumu organizēšanas, izmaksu un ieguvumu aprēķinu veikšanas, īpašumtiesību dokumentu sakārtošanas, kā arī citu dokumentu sagatavošanas, kas nepieciešami projektu iesniegšanai. Vienlaikus noteikumu projekta apstiprināšana dos iespēju piešķirt </w:t>
      </w:r>
      <w:r w:rsidR="00000000" w:rsidRPr="00000000" w:rsidDel="00000000">
        <w:rPr>
          <w:i w:val="1"/>
          <w:rtl w:val="0"/>
        </w:rPr>
        <w:t xml:space="preserve">de minimis </w:t>
      </w:r>
      <w:r w:rsidR="00000000" w:rsidRPr="00000000" w:rsidDel="00000000">
        <w:rPr>
          <w:rtl w:val="0"/>
        </w:rPr>
        <w:t xml:space="preserve">atbalstu saskaņā ar Regulu Nr. 2023/2831, ņemot vērā, ka pēc 2024. gada 30. jūnija </w:t>
      </w:r>
      <w:r w:rsidR="00000000" w:rsidRPr="00000000" w:rsidDel="00000000">
        <w:rPr>
          <w:i w:val="1"/>
          <w:rtl w:val="0"/>
        </w:rPr>
        <w:t xml:space="preserve">de minimis</w:t>
      </w:r>
      <w:r w:rsidR="00000000" w:rsidRPr="00000000" w:rsidDel="00000000">
        <w:rPr>
          <w:rtl w:val="0"/>
        </w:rPr>
        <w:t xml:space="preserve"> atbalstu saskaņā ar Regulu Nr. 1407/2013 piešķirt nav iespējams.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izmaiņas paredz kopumā labvēlīgākus nosacījumus projektu iesniedzējiem un sadarbības partneriem, kas veicinātu 5.1.1.1. pasākuma ietvaros plānoto budžeta mērķu sasniegšanu, t.i. n+3 principa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 precizēt </w:t>
      </w:r>
      <w:r w:rsidR="00000000" w:rsidRPr="00000000" w:rsidDel="00000000">
        <w:rPr>
          <w:i w:val="1"/>
          <w:rtl w:val="0"/>
        </w:rPr>
        <w:t xml:space="preserve">de minimis</w:t>
      </w:r>
      <w:r w:rsidR="00000000" w:rsidRPr="00000000" w:rsidDel="00000000">
        <w:rPr>
          <w:rtl w:val="0"/>
        </w:rPr>
        <w:t xml:space="preserve">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2024. gada 30. jūnija </w:t>
      </w:r>
      <w:r w:rsidR="00000000" w:rsidRPr="00000000" w:rsidDel="00000000">
        <w:rPr>
          <w:i w:val="1"/>
          <w:rtl w:val="0"/>
        </w:rPr>
        <w:t xml:space="preserve">de minimis</w:t>
      </w:r>
      <w:r w:rsidR="00000000" w:rsidRPr="00000000" w:rsidDel="00000000">
        <w:rPr>
          <w:rtl w:val="0"/>
        </w:rPr>
        <w:t xml:space="preserve"> atbalstu saskaņā ar Regulu Nr. 1407/2013 piešķirt nav iespējams, noteikumu projekts paredz, ka 5.1.1.1. pasākumā </w:t>
      </w:r>
      <w:r w:rsidR="00000000" w:rsidRPr="00000000" w:rsidDel="00000000">
        <w:rPr>
          <w:i w:val="1"/>
          <w:rtl w:val="0"/>
        </w:rPr>
        <w:t xml:space="preserve">de minimis </w:t>
      </w:r>
      <w:r w:rsidR="00000000" w:rsidRPr="00000000" w:rsidDel="00000000">
        <w:rPr>
          <w:rtl w:val="0"/>
        </w:rPr>
        <w:t xml:space="preserve">atbalsts tiks sniegts saskaņā ar Regulu Nr. 2023/2831, kura ir stājusies spēkā ar 2024. gada 1. janvāri un aizvieto Regulu Nr. 1407/2013. Regula Nr. 2023/2831 paredz labvēlīgākus nosacījumus </w:t>
      </w:r>
      <w:r w:rsidR="00000000" w:rsidRPr="00000000" w:rsidDel="00000000">
        <w:rPr>
          <w:i w:val="1"/>
          <w:rtl w:val="0"/>
        </w:rPr>
        <w:t xml:space="preserve">de minimis</w:t>
      </w:r>
      <w:r w:rsidR="00000000" w:rsidRPr="00000000" w:rsidDel="00000000">
        <w:rPr>
          <w:rtl w:val="0"/>
        </w:rPr>
        <w:t xml:space="preserve"> atbalsta saņēmējiem, jo līdzšinējais pieejamais </w:t>
      </w:r>
      <w:r w:rsidR="00000000" w:rsidRPr="00000000" w:rsidDel="00000000">
        <w:rPr>
          <w:i w:val="1"/>
          <w:rtl w:val="0"/>
        </w:rPr>
        <w:t xml:space="preserve">de minimis</w:t>
      </w:r>
      <w:r w:rsidR="00000000" w:rsidRPr="00000000" w:rsidDel="00000000">
        <w:rPr>
          <w:rtl w:val="0"/>
        </w:rPr>
        <w:t xml:space="preserve"> atbalsta apjoms palielinās no 200 000 EUR uz 300 000 EUR, t.i., viens vienots uzņēmums jebkurā triju gadu periodā var saņemt vienā dalībvalstī </w:t>
      </w:r>
      <w:r w:rsidR="00000000" w:rsidRPr="00000000" w:rsidDel="00000000">
        <w:rPr>
          <w:i w:val="1"/>
          <w:rtl w:val="0"/>
        </w:rPr>
        <w:t xml:space="preserve">de minimis</w:t>
      </w:r>
      <w:r w:rsidR="00000000" w:rsidRPr="00000000" w:rsidDel="00000000">
        <w:rPr>
          <w:rtl w:val="0"/>
        </w:rPr>
        <w:t xml:space="preserve"> atbalstu 300 000 EUR apmērā. Trīs gadu laikposms noteikts kā slīdošs periods un turpmāk </w:t>
      </w:r>
      <w:r w:rsidR="00000000" w:rsidRPr="00000000" w:rsidDel="00000000">
        <w:rPr>
          <w:i w:val="1"/>
          <w:rtl w:val="0"/>
        </w:rPr>
        <w:t xml:space="preserve">de minimis</w:t>
      </w:r>
      <w:r w:rsidR="00000000" w:rsidRPr="00000000" w:rsidDel="00000000">
        <w:rPr>
          <w:rtl w:val="0"/>
        </w:rPr>
        <w:t xml:space="preserve"> atbalsta kopsumma, ko viena dalībvalsts piešķir vienam vienotam uzņēmumam no </w:t>
      </w:r>
      <w:r w:rsidR="00000000" w:rsidRPr="00000000" w:rsidDel="00000000">
        <w:rPr>
          <w:i w:val="1"/>
          <w:rtl w:val="0"/>
        </w:rPr>
        <w:t xml:space="preserve">de minimis</w:t>
      </w:r>
      <w:r w:rsidR="00000000" w:rsidRPr="00000000" w:rsidDel="00000000">
        <w:rPr>
          <w:rtl w:val="0"/>
        </w:rPr>
        <w:t xml:space="preserve"> atbalsta piešķiršanas brīža nedrīkst pārsniegt 300 000 EUR. Atbilstoši MK noteikumiem Nr. 55 </w:t>
      </w:r>
      <w:r w:rsidR="00000000" w:rsidRPr="00000000" w:rsidDel="00000000">
        <w:rPr>
          <w:i w:val="1"/>
          <w:rtl w:val="0"/>
        </w:rPr>
        <w:t xml:space="preserve">de minimis</w:t>
      </w:r>
      <w:r w:rsidR="00000000" w:rsidRPr="00000000" w:rsidDel="00000000">
        <w:rPr>
          <w:rtl w:val="0"/>
        </w:rPr>
        <w:t xml:space="preserve"> atbalsta piešķiršanas brīdis ir diena, kad tiek pieņemts sadarbības iestādes lēmums par projekta iesnieguma apstiprināšanu vai izdots atzinums par lēmumā noteikto nosacījumu izpildi. Ja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 Piemērs: Ja </w:t>
      </w:r>
      <w:r w:rsidR="00000000" w:rsidRPr="00000000" w:rsidDel="00000000">
        <w:rPr>
          <w:i w:val="1"/>
          <w:rtl w:val="0"/>
        </w:rPr>
        <w:t xml:space="preserve">de minimis </w:t>
      </w:r>
      <w:r w:rsidR="00000000" w:rsidRPr="00000000" w:rsidDel="00000000">
        <w:rPr>
          <w:rtl w:val="0"/>
        </w:rPr>
        <w:t xml:space="preserve">atbasltu ir plānots piešķirt 2024. gada 19. augustā, pārbauda, lai potenciālajam </w:t>
      </w:r>
      <w:r w:rsidR="00000000" w:rsidRPr="00000000" w:rsidDel="00000000">
        <w:rPr>
          <w:i w:val="1"/>
          <w:rtl w:val="0"/>
        </w:rPr>
        <w:t xml:space="preserve">de minimis</w:t>
      </w:r>
      <w:r w:rsidR="00000000" w:rsidRPr="00000000" w:rsidDel="00000000">
        <w:rPr>
          <w:rtl w:val="0"/>
        </w:rPr>
        <w:t xml:space="preserve"> atbalsta saņēmējam trīs kalendāro gadu laikā piešķirtais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300 000 EUR, t.i., skatās periodu no 2021. gada 19. augusta līdz 2024. gada 19.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svītrot MK noteikumu Nr. 55 67.1. apakšpunkta nosacījumus, lai informācija nedublētu MK noteikumu Nr. 55 67.3. apakšpunktā minēto par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 MK noteikumos Nr. 55 integrēt atbilstošus nosacījumus attiecībā uz NACE 2.1. red., kura tiks piemērota no 2025. gada 1. janvāra, tā nodrošinot savlaicīgu pāreju uz jauno regulējumu saskaņā ar Regulu Nr. 2023/137. NACE 2.1.red. paredz, piemēram, jaunas sadaļas "K – telekomunikācija, datorprogrammēšana, konsultēšana, datošanas infrastruktūras nodrošināšana un citi informācijas pakalpojumi" izveidi, kurā ietilpstošās tautsaimniecības nozares ir atbalstāmas projekta rādītāju ieskaitīšanā, attiecīgi tiek mainīta visu turpmāko sadaļu numerācija. Salīdzinājumam – NACE 2. red. sadaļā "K" ietilpst "Finanšu un apdrošināšanas darbības", kas ir tautsaimniecības nozare, kurā radītos rādītājus, atbilstoši MK noteikumu Nr. 55 nosacījumiem, projektā nevar ieskaitīt.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 labvēlīgākus nosacījumus attiecībā uz brīdi, līdz kuram zemesgrāmatās ir nostiprināmas tiesības veikt projekta ieguldījumus zemes īpašumā. Turpmāk tiesības veikt projekta ieguldījumus zemes īpašumā nostiprināmas zemesgrāmatās līdz projekta noslēguma maksājumam, tādejādi tiek paātrināta civiltiesiskā līguma vai vienošanās par projekta īstenošanu noslēgšana, projekta darbību uzsākšana (īpaši kompleksajos projektos, kuros paredzēta ceļu satiksmes infrastruktūras un uzņēmējdarbībai paredzēto ēku infrastruktūras attīstīšana),kā rezultātā tas rada iespēju projekta iesniedzējam un sadarbības partnerim ātrāk saņemt finanšu resursus avansa veidā, ja tam ir pamatojums, un kopumā sekmē n+3 principu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tiesiskās skaidrības nodrošināšanai precizē nosacījumu par apbūves tiesību. Atbilstoši Tieslietu ministrijas publicētajam skaidrojumam (https://www.tm.gov.lv/lv/skaidrojums-apbuves-tiesiba-un-brivpratiga-dalita-ipasuma-pastavesana-pec-01012017?utm_source=https%3A%2F%2Fwww.google.com%2F) uz zemes uzceltas būves atbilstoši Civillikuma 968. pantā nostiprinātajam zemes un ēkas vienotības principam būs uzskatāmas par zemes daļu, tādejādi, beidzoties apbūves tiesībai, ēka, ko komersants kā sadarbības partneris apbūves tiesības līguma ietvarā būs izbūvējis uz finansējuma saņēmēja – publiskas personas zemes, paliks finansējuma saņēmēja – publiskās personas, kas ir šīs zemes īpašnieks, īpašumā. Publiskas personas zemes īpašumu var iegādāties vispārējā kārtībā publiskā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tehniski precizēts, lai salāgotu MK noteikumu Nr. 55 70. un 71. punkta nosacījumus, konkrētāk skaidrojot rīcību gadījumos, kad piemēro projekta ietvaros plānotā komercdarbības atbalsta kumulāciju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veikti grozījumi MK noteikumos Nr. 55, 5.1.1.1. pasākuma ietvaros nebūs iespējams piešķirt </w:t>
      </w:r>
      <w:r w:rsidR="00000000" w:rsidRPr="00000000" w:rsidDel="00000000">
        <w:rPr>
          <w:i w:val="1"/>
          <w:rtl w:val="0"/>
        </w:rPr>
        <w:t xml:space="preserve">de minimis </w:t>
      </w:r>
      <w:r w:rsidR="00000000" w:rsidRPr="00000000" w:rsidDel="00000000">
        <w:rPr>
          <w:rtl w:val="0"/>
        </w:rPr>
        <w:t xml:space="preserve">atbalstu, kuru piemēro projekta iesnieguma sagatavošanas izmaksām, kas saistītas ar tām būvniecības darbībām, kurām plānots komercdarbības atbalsts saskaņā ar Eiropas Komisijas 2014. gada 17. jūnija Regulas (ES) Nr. 651/2014, ar ko noteiktas atbalsta kategorijas atzīst par saderīgām ar iekšējo tirgu, piemērojot Līguma 107. un 108. pantu 14., 41., 45. un 56. pantu, ņemot vērā, ka pēc 2024. gada 30. jūnija </w:t>
      </w:r>
      <w:r w:rsidR="00000000" w:rsidRPr="00000000" w:rsidDel="00000000">
        <w:rPr>
          <w:i w:val="1"/>
          <w:rtl w:val="0"/>
        </w:rPr>
        <w:t xml:space="preserve">de minimis</w:t>
      </w:r>
      <w:r w:rsidR="00000000" w:rsidRPr="00000000" w:rsidDel="00000000">
        <w:rPr>
          <w:rtl w:val="0"/>
        </w:rPr>
        <w:t xml:space="preserve"> atbalstu saskaņā ar Regulu Nr. 1407/2013 piešķirt nav iespējams. Vienlaikus, neveicot noteikumu projektā iekļautos grozījumus, var tikt ietekmēta atklātā projektu iesniegumu atlases gaita (konkurss). Projektu iesniegumu atlases beigu termiņš ir noteikts 2024. gada 21. jūnijs. Tā kā projektu iesniedzēji šobrīd izstrādā projektu iesniegumus, tai skaitā gan tehnisko dokumentāciju, gan izmaksu un ieguvumu analīzi, ir būtiski apstiprināt noteikumu projekta grozījumus, lai tos savlaicīgi iekļautu projektu iesniegumu atlases nolikumā, tādejādi, izvairoties no projektu atlases termiņa pagarināšanas, kas varētu paaugstināt risku nesasniegt n+3 principa ietvaros plānotos finansējuma apguves mērķus.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5.1.1.1.pasākuma projektu iesniedzēji, sadarbības partneri un Centrālā finanšu un līgumu aģentūra (turpmāk -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pozitīvu ietekmi uz 5.1.1.1. pasākuma projektu iesniedzējiem un sadarbības partneriem, jo paredz labvēlīgākus nosacījumus projektu iesniegšanai un izmaksu attiecināšanai. CFLA kā ES fondu sadarbības iestādei būs nepieciešams veikt izmaiņas 5.1.1.1. pasākuma projektu iesniegumu atlases nolikuma dokumentācijā.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kas sekmē Eiropas Reģionālā attīstības fonda finansējuma nonākšanu tautsaimniecībā. Ieguvēji ir privātā sektora komersanti, kas nodrošina gan projektēšanas un būvdarbu pakalpojumus, gan arī komersanti kā tiešie vai netiešie labuma guvēji no projektu ietvaros attīstītās uzņēmējdarbībai nepieciešamās publiskās infrastruktūras, piemēram, satiksmes infrastruktūras, nomas ēku infrastruktūras, industriālajiem pieslēgumiem uzņēmējdarbības teritorijām.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decembra Eiropas Komisijas Regula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10. oktobra Eiropas Komisijas Deleģētā Regula (ES) 2023/137, ar kuru groza Eiropas Parlamenta un Padomes Regulu (EK) Nr. 1893/2006, ar ko izveido NACE 2. red. saimniecisko darbību statistisko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2023. gada 13. decembra Eiropas Komisijas Regula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2022. gada 10. oktobra Eiropas Komisijas Deleģētā Regula (ES) 2023/137, ar kuru groza Eiropas Parlamenta un Padomes Regulu (EK) Nr. 1893/2006, ar ko izveido NACE 2. red. saimniecisko darbību statistisko klasifikāciju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institūcija piemēro sabiedrības līdzdalības kārtību to tiesību aktu projektu izstrādē, kas būtiski maina esošo regulējumu vai paredz ieviest jaunas politiskās iniciatīvas. Noteikumu projekta mērķis ir noteikt regulējumu, kas ir atbilstošs izmaiņām Eiropas Komisijas tiesību aktos attiecībā uz </w:t>
      </w:r>
      <w:r w:rsidR="00000000" w:rsidRPr="00000000" w:rsidDel="00000000">
        <w:rPr>
          <w:i w:val="1"/>
          <w:rtl w:val="0"/>
        </w:rPr>
        <w:t xml:space="preserve">de minimis</w:t>
      </w:r>
      <w:r w:rsidR="00000000" w:rsidRPr="00000000" w:rsidDel="00000000">
        <w:rPr>
          <w:rtl w:val="0"/>
        </w:rPr>
        <w:t xml:space="preserve"> atbalsta nosacījumiem un izmaiņām Saimniecisko darbību statistiskās klasifikācijā, vienlaikus paredzot izmaiņas, kas veicinātu ieguldījumu straujāku ienākšanu tautsaimniecībā un Eiropas Komisijas noteiktā ikgadēji n+3 princips izpildi kopumā. Tas būtiski nemaina esošo regulējumu un neparedz ieviest jaunas politiskās iniciatīvas. Ņemot vērā iepriekš minēto, publiskā apspriede par noteikumu projektu netiek veikta.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5.1.1.1.pasākuma projektu iesniedzēji un sadarbības partneri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24-TA-401</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24-TA-401</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anotācija_(ex_ante)_24-TA-401.docx</dc:title>
</cp:coreProperties>
</file>

<file path=docProps/custom.xml><?xml version="1.0" encoding="utf-8"?>
<Properties xmlns="http://schemas.openxmlformats.org/officeDocument/2006/custom-properties" xmlns:vt="http://schemas.openxmlformats.org/officeDocument/2006/docPropsVTypes"/>
</file>