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30. novembra noteikumos Nr. 776 "Valsts un Eiropas Savienības atbalsta piešķiršanas kārtība atklātu projektu konkursa veidā pasākumā "Ieguldījumi materiālajos aktīvos" 2014.–2020. gada plānošanas perioda pārejas laikā 2021. un 2022. gadā""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2021. gada 30. novembra noteikumos Nr. 776 "Valsts un Eiropas Savienības atbalsta piešķiršanas kārtība atklātu projektu konkursa veidā pasākumā "Ieguldījumi materiālajos aktīvos" 2014.–2020. gada plānošanas perioda pārejas laikā 2021. un 2022. gadā"" (turpmāk – noteikumi Nr. 776) ir nepieciešami, lai pilnveidotu atbalsta sniegšanas nosacījumus atbilstoši projektu iesniegumu konkursa izvērtēšanas rezultātiem.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noteikumus Nr. 776, pilnveidojot atbalsta sniegšanas nosacījumus, t.i., palielināt maksimālo attiecināmo izmaksu apmēru cūkkopības un putnkopības saimniecībām, kas veic ieguldījumus būvniecībā vai pārbūvē, lai uzlabotu dzīvnieku labturības apstākļus un īstenotu dzīvnieku novietnes biodrošības pasākumus saskaņā ar šo noteikumu 35.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noteikumos Nr. 776 ir paredzēts atbalsts ieguldījumiem energoefektivitātes palielināšanā: pārbūvējot būvi vai investējot apgaismojumā, ražošanas līnijās vai citās ierīcēs un iekārtās, kuru darbināšanai vai tehnoloģiskajam procesam tiek patērēta enerģija, jāpanāk, lai energoefektivitāte palielinātos vismaz par 20 procentiem salīdzinājumā ar esošo būves 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42. punkts noteic, ka atbalstu nepiešķir alkoholisko dzērienu ražošanai, izņemot tādu dabiski raudzētu dzērienu ražošanai, kuri minēti Līguma par Eiropas Savienības darbību I pielikumā un kuros spirta saturs nepārsniedz 12 procentu, ja projektu īsteno teritorijā ārpus valstspilsētām. Tā kā atbilstoši noteikumu Nr. 776 3.2. apakšpunktam apakšpasākumā "Atbalsts ieguldījumiem pārstrādē" ir atbalstāmi arī ieguldījumi projektos, kuru galaprodukts nav minēts Līguma par Eiropas Savienības darbību I pielikumā, tad 42. punktā ietverta atsauce ir ierobežojoša.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52.1. apakšpunktā noteikts, ka noteikumu 1.1. apakšpunktā minētajā apakšpasākumā maksimālais attiecināmo izmaksu apmērs ir 1 000 000 </w:t>
      </w:r>
      <w:r w:rsidR="00000000" w:rsidRPr="00000000" w:rsidDel="00000000">
        <w:rPr>
          <w:i w:val="1"/>
          <w:rtl w:val="0"/>
        </w:rPr>
        <w:t xml:space="preserve">euro</w:t>
      </w:r>
      <w:r w:rsidR="00000000" w:rsidRPr="00000000" w:rsidDel="00000000">
        <w:rPr>
          <w:rtl w:val="0"/>
        </w:rPr>
        <w:t xml:space="preserve">. Atbalsta pretendentam, kura ieņēmumi no lauksaimnieciskās darbības pārsniedz 50 procentu no kopējiem ieņēmumiem, attiecībā uz būvju būvniecību un pārbūvi minēto summu atbilstoši šo noteikumu 10. pielikumam var palielināt par izmaksātās darba algas un ar to saistīto darbaspēka nodokļu un nodevu kopsummu pēdējos divos gados, bet nepārsniedzot 2 000 000 </w:t>
      </w:r>
      <w:r w:rsidR="00000000" w:rsidRPr="00000000" w:rsidDel="00000000">
        <w:rPr>
          <w:i w:val="1"/>
          <w:rtl w:val="0"/>
        </w:rPr>
        <w:t xml:space="preserve">euro</w:t>
      </w:r>
      <w:r w:rsidR="00000000" w:rsidRPr="00000000" w:rsidDel="00000000">
        <w:rPr>
          <w:rtl w:val="0"/>
        </w:rPr>
        <w:t xml:space="preserve">. Vienlaikus atbilstoši noteikumu Nr. 776 6.2. apakšpunktam putnkopības un cūkkopības nozarei tika paredzēts atsevišķs publiskais finansējums, kurš saskaņā ar minēto noteikumu 35. punktu ir paredzēts ieguldījumiem, kas saistīti ar jaunu būvju būvniecību un esošo būvju pārbūvi, novietošanu, ierīkošanu un atjaunošanu, uzlabojot dzīvnieku labturības apstākļus vai īstenojot lauksaimniecības dzīvnieku novietnes biodrošības pasākumus, lai mazinātu iespējamās epizootiju un epifitotiju sekas, kā arī kūtsmēslu krātuvju un starpkrātuvju būvniecībai, pārbūvei vai nosegšanai un citiem ieguldījumu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776 neparedz iespēju atbalstīt ieguldījumus nekustamā īpašuma iegādei.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776 dotā kooperatīvo sabiedrību apvienības definīcija ir jāprecizē, nosakot, ka kooperatīvo sabiedrību apvienību veido citas kooperatīvās sabiedrības, lai ietvertu arī otrā līmeņa kooperatīvās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 2014.–2022. pasākuma "Ieguldījumi materiālajos aktīvos" finansējums ir paredzēts tādiem mērķa virzieniem kā konkurētspējas veicināšana, energoefektivitātes uzlabošana, atjaunojamās enerģijas izmantošana un SEG un amonjaka emisiju samazināšana. Vērtējot iepriekšējās projektu iesniegumu pieņemšanas kārtās iesniegtos projektus, secināts, ka ar energoefektivitātes ieguldījumiem saistīto projektu daudzums ir ļoti mazs, ja ņem vērā pieejamo publisko finansējumu, tāpēc, izvērtējot atbalsta administrēšanas pieredzi, tika secināts, ka ir jāpaplašina attiecināmo ieguldījumu loks, kas būtu atbilstošs energoefektivitātes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35. punktā ir noteikts, ka lauku saimniecībām no putnkopības un cūkkopības nozarei paredzētā finansējuma piešķir atbalstu ieguldījumiem, kas saistīti ar jaunu būvju būvniecību un esošo būvju pārbūvi, novietošanu, ierīkošanu, atjaunošanu, uzlabojot dzīvnieku labturības apstākļus vai īstenojot lauksaimniecības dzīvnieku novietnes biodrošības pasākumus, lai mazinātu iespējamās epizootiju un epifitotiju sekas, kā arī kūtsmēslu krātuvju un starpkrātuvju būvniecībai, pārbūvei vai nosegšanai. Minētais ieguldījumu saraksts ir papildināms ar specifisko ieguldījumu veidiem, kas paredzēti, lai uzlabotu labturības (brīvās turēšanas sistēmu) novietnes aprīkojumu mājputnu 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42. punktā ietvertā atsauce uz dabiski raudzētiem dzērieniem, kas minēti Līguma par Eiropas Savienības darbību I pielikumā, ir ierobežojoša, tāpēc tā ir jāsvītro, lai atbalstu varētu piešķirt atbilstoši 39. punktā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52.1. apakšpunktā paredzēts, ka maksimālais attiecināmo izmaksu apmērs "Atbalstam ieguldījumiem lauku saimniecībās" ir 1 000 000 </w:t>
      </w:r>
      <w:r w:rsidR="00000000" w:rsidRPr="00000000" w:rsidDel="00000000">
        <w:rPr>
          <w:i w:val="1"/>
          <w:rtl w:val="0"/>
        </w:rPr>
        <w:t xml:space="preserve">euro </w:t>
      </w:r>
      <w:r w:rsidR="00000000" w:rsidRPr="00000000" w:rsidDel="00000000">
        <w:rPr>
          <w:rtl w:val="0"/>
        </w:rPr>
        <w:t xml:space="preserve">vai, ja atbalsta pretendenta ieņēmumi no lauksaimnieciskās darbības pārsniedz 50 procentus no kopējiem ieņēmumiem, maksimālo attiecināmo izmaksu apmēru attiecībā uz būvju būvniecību un pārbūvi var palielināt par izmaksātās darba algas un ar to saistīto darbaspēka nodokļu un nodevu kopsummu pēdējos divos gados, nepārsniedzot  2 000 000 </w:t>
      </w:r>
      <w:r w:rsidR="00000000" w:rsidRPr="00000000" w:rsidDel="00000000">
        <w:rPr>
          <w:i w:val="1"/>
          <w:rtl w:val="0"/>
        </w:rPr>
        <w:t xml:space="preserve">euro</w:t>
      </w:r>
      <w:r w:rsidR="00000000" w:rsidRPr="00000000" w:rsidDel="00000000">
        <w:rPr>
          <w:rtl w:val="0"/>
        </w:rPr>
        <w:t xml:space="preserve">. Atsevišķs finansējums lauku saimniecībām cūkkopības un putnkopības nozarē ir izsludināts divas reizes, tomēr ir izveidojies finansējuma atlikums. Putnkopības nozares pārstāvji ir norādījuši, ka viens no finansējuma nepilnīgas izlietošanas iemesliem ir maksimālo attiecināmo izmaksu ierobežojums vienam atbalsta saņēmējam, un tas neļauj putnkopības un cūkkopības saimniecībām izmantot tām paredzēto finansējumu šo noteikumu 35. punktā minēto darbību īstenošanai. Tādējādi ir jāprecizē putnkopības un cūkkopības lauku saimniecību maksimālais attiecināmo izmaksu apmērs vienam atbalsta pretendentam, ja pretendents izdara ieguldījumus atbilstoši noteikumu Nr. 776 35. punktā noteiktam.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2023. gada 9. martā tika pieņemti grozījumi Komisijas 2014. gada 17. jūnija Regulā (ES) Nr. 651/2014, ar ko noteiktas atbalsta kategorijas atzīst par saderīgām ar iekšējo tirgu, piemērojot Līguma 107. un 108. pantu (turpmāk – Komisijas regula Nr. 651/2014), atbilstoši tiem ir jāprecizē arī noteikumi Nr. 776.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43.</w:t>
      </w:r>
      <w:r w:rsidR="00000000" w:rsidRPr="00000000" w:rsidDel="00000000">
        <w:rPr>
          <w:vertAlign w:val="superscript"/>
          <w:rtl w:val="0"/>
        </w:rPr>
        <w:t xml:space="preserve">8 </w:t>
      </w:r>
      <w:r w:rsidR="00000000" w:rsidRPr="00000000" w:rsidDel="00000000">
        <w:rPr>
          <w:rtl w:val="0"/>
        </w:rPr>
        <w:t xml:space="preserve">punkts dod iespēju apvienot saskaņā ar noteikumiem Nr. 776 piešķirto finansējumu un citā atbalsta programmā vai </w:t>
      </w:r>
      <w:r w:rsidR="00000000" w:rsidRPr="00000000" w:rsidDel="00000000">
        <w:rPr>
          <w:i w:val="1"/>
          <w:rtl w:val="0"/>
        </w:rPr>
        <w:t xml:space="preserve">ad-hoc </w:t>
      </w:r>
      <w:r w:rsidR="00000000" w:rsidRPr="00000000" w:rsidDel="00000000">
        <w:rPr>
          <w:rtl w:val="0"/>
        </w:rPr>
        <w:t xml:space="preserve">atbalsta projektā piešķirto finansējumu, tostarp par tām pašām attiecināmajām izmaksām, un </w:t>
      </w:r>
      <w:r w:rsidR="00000000" w:rsidRPr="00000000" w:rsidDel="00000000">
        <w:rPr>
          <w:i w:val="1"/>
          <w:rtl w:val="0"/>
        </w:rPr>
        <w:t xml:space="preserve">de minimis </w:t>
      </w:r>
      <w:r w:rsidR="00000000" w:rsidRPr="00000000" w:rsidDel="00000000">
        <w:rPr>
          <w:rtl w:val="0"/>
        </w:rPr>
        <w:t xml:space="preserve">atbalstu, ievērojot nosacījumu, ka saskaņā ar šiem noteikumiem piešķirtais finansējums kopā ar citā atbalsta programmā vai </w:t>
      </w:r>
      <w:r w:rsidR="00000000" w:rsidRPr="00000000" w:rsidDel="00000000">
        <w:rPr>
          <w:i w:val="1"/>
          <w:rtl w:val="0"/>
        </w:rPr>
        <w:t xml:space="preserve">ad-hoc</w:t>
      </w:r>
      <w:r w:rsidR="00000000" w:rsidRPr="00000000" w:rsidDel="00000000">
        <w:rPr>
          <w:rtl w:val="0"/>
        </w:rPr>
        <w:t xml:space="preserve"> atbalsta projektā piešķirto finansējumu nepārsniedz maksimāli pieļaujamo šajos noteikumos noteikto reģionālā finansējuma intensitāti atbilstoši Latvijas Republikas statistiskajiem reģioniem (</w:t>
      </w:r>
      <w:r w:rsidR="00000000" w:rsidRPr="00000000" w:rsidDel="00000000">
        <w:rPr>
          <w:i w:val="1"/>
          <w:rtl w:val="0"/>
        </w:rPr>
        <w:t xml:space="preserve">NUTS 3</w:t>
      </w:r>
      <w:r w:rsidR="00000000" w:rsidRPr="00000000" w:rsidDel="00000000">
        <w:rPr>
          <w:rtl w:val="0"/>
        </w:rPr>
        <w:t xml:space="preserve">) un maksimālā publiskā finansējuma apmēru vai maksimālo robežvērtību, kas noteikta citā valsts atbalsta programmā, individuālā atbalsta projektā vai Eiropas Komisijas lēmumā. Latvijas Republikas reģionālā atbalsta karte tika noteikta, pamatojoties uz nosacījumu, ka Latvijas Republikas ekonomiskā teritorija </w:t>
      </w:r>
      <w:r w:rsidR="00000000" w:rsidRPr="00000000" w:rsidDel="00000000">
        <w:rPr>
          <w:i w:val="1"/>
          <w:rtl w:val="0"/>
        </w:rPr>
        <w:t xml:space="preserve">NUTS</w:t>
      </w:r>
      <w:r w:rsidR="00000000" w:rsidRPr="00000000" w:rsidDel="00000000">
        <w:rPr>
          <w:rtl w:val="0"/>
        </w:rPr>
        <w:t xml:space="preserve"> 3. līmenī ir iedalīta sešos statistiskajos reģionos, bet tika izdarīti grozījumi Eiropas Parlamenta un Padomes Regulā (EK) Nr. 1059/2003 par kopējas statistiski teritoriālo vienību klasifikācijas (</w:t>
      </w:r>
      <w:r w:rsidR="00000000" w:rsidRPr="00000000" w:rsidDel="00000000">
        <w:rPr>
          <w:i w:val="1"/>
          <w:rtl w:val="0"/>
        </w:rPr>
        <w:t xml:space="preserve">NUTS</w:t>
      </w:r>
      <w:r w:rsidR="00000000" w:rsidRPr="00000000" w:rsidDel="00000000">
        <w:rPr>
          <w:rtl w:val="0"/>
        </w:rPr>
        <w:t xml:space="preserve">) izveidi (turpmāk – regula Nr. 1059/2003). Grozījumi paredz, ka turpmāk Latvijā būs pieci statistiskie reģioni – Kurzemes statistiskais reģions, Latgales statistiskais reģions, Rīgas statistiskais reģions, Vidzemes statistiskais reģions un Zemgales statistiskais reģions. Regulas Nr. 1059/2003 grozījumi būs piemērojami no 2024. gada 1. janvāra. Vienlaikus Eiropas Komisijas Konkurences Ģenerāldirektorāts savā atbildē Latvijai paskaidroja, ka iepriekšminētās </w:t>
      </w:r>
      <w:r w:rsidR="00000000" w:rsidRPr="00000000" w:rsidDel="00000000">
        <w:rPr>
          <w:i w:val="1"/>
          <w:rtl w:val="0"/>
        </w:rPr>
        <w:t xml:space="preserve">NUTS </w:t>
      </w:r>
      <w:r w:rsidR="00000000" w:rsidRPr="00000000" w:rsidDel="00000000">
        <w:rPr>
          <w:rtl w:val="0"/>
        </w:rPr>
        <w:t xml:space="preserve">robežas un saistītās atbalsta intensitātes paliks spēkā visu reģionālā atbalsta karšu darbības laiku neatkarīgi no jebkurām administratīvajām pārmaiņām, kas var notikt </w:t>
      </w:r>
      <w:r w:rsidR="00000000" w:rsidRPr="00000000" w:rsidDel="00000000">
        <w:rPr>
          <w:i w:val="1"/>
          <w:rtl w:val="0"/>
        </w:rPr>
        <w:t xml:space="preserve">NUTS </w:t>
      </w:r>
      <w:r w:rsidR="00000000" w:rsidRPr="00000000" w:rsidDel="00000000">
        <w:rPr>
          <w:rtl w:val="0"/>
        </w:rPr>
        <w:t xml:space="preserve">vai pašvaldību līmenī. Tāpēc </w:t>
      </w:r>
      <w:r w:rsidR="00000000" w:rsidRPr="00000000" w:rsidDel="00000000">
        <w:rPr>
          <w:i w:val="1"/>
          <w:rtl w:val="0"/>
        </w:rPr>
        <w:t xml:space="preserve">NUTS </w:t>
      </w:r>
      <w:r w:rsidR="00000000" w:rsidRPr="00000000" w:rsidDel="00000000">
        <w:rPr>
          <w:rtl w:val="0"/>
        </w:rPr>
        <w:t xml:space="preserve">robežas un no tā izrietošās reģionālā atbalsta intensitātes, kādas tās bija dalībvalsts reģionālā atbalsta kartes apstiprināšanas brīdī, būs spēkā līdz 2027.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776 nedod iespēju atbalstīt ieguldījumus nekustamā īpašuma iegādei, lai gan Eiropas Parlamenta un Padomes (ES) 2013. gada 17. decembra Regulas (EK) Nr. 1305/2013 par atbalstu lauku attīstībai no Eiropas Lauksaimniecības fonda lauku attīstībai (ELFLA) un ar ko atceļ Padomes regulu (EK) Nr. 1698/2005 (turpmāk – Regula Nr. 1305/2013) 45. panta 2. punktā ir  noteikts, ka izdevumi, kas ir tiesīgi saņemt ELFLA atbalstu, ietver arī nekustamā īpašuma iegādi. Lai veicinātu otrā līmeņa kooperatīvo sabiedrību attīstību, kas īpaši jāsekmē piena nozarē, ir jāprecizē attiecināmās izmaksas, tajās ietverot nekustamā īpašuma un ar to saistīto iekārtu iegādi tikai kooperatīvo sabiedrību apvienībām.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noteikumu projekta nosacījumi attiecas uz projektiem, kas tiks iesniegti nākamajās projektu iesniegumu pieņemšanas kārtās (pēc noteikumu apstiprināšanas un spēkā stāšanās) pasākumā "Ieguldījumi materiālajos aktīvos", un neattiecas uz iepriekš iesniegtiem projektiem, izņemot noteikumu Nr. 776 66.4., 69.3. un 74.14. apakšpunktā noteiktās izmaksas. Minētie izdevumi projektos ir attiecināmi no 2023.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ieguldījumus energoefektivitātē, paplašināts attiecināmo ieguldījumu loks, precizējot noteikumu Nr. 776 28. punktu un nosakot, ka ir atbalstāma tādu iekārtu iegāde, kurām ir augstākais energoefektivitātes marķējums. Augstākais energoefektivitātes marķējums atbilst A un B klasei. Iekārtai jābūt rūpnieciski ražotai, kā arī jābūt iekārtas ražotāja  apliecinājumam par iekārtas energoefektivitāti. Attiecīgi ir precizēts noteikumu Nr. 776 74.9.2. apakšpunkts, nosakot, ka atbalsta pretendentam Lauku atbalsta dienestā kopā ar projekta iesniegumu ir jāiesniedz arī informācija par iekārtu energoefektivitātes marķējumu, lai apliecinātu augstāko energoefektivitātes marķējumu.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35. punkts ir precizēts, nosakot, ka lauku saimniecībām no putnkopības un cūkkopības nozarei paredzētā finansējuma piešķir atbalstu ieguldījumiem, kas saistīti ar jaunu būvju būvniecību un esošo būvju pārbūvi, novietošanu, ierīkošanu, atjaunošanu, uzlabojot dzīvnieku labturības apstākļus, kā arī kūtsmēslu krātuvju un starpkrātuvju būvniecībai, pārbūvei vai nosegšanai, kūtsmēslu biežas izvākšanas konveijeru sistēmām, kūtsmēslu iestrādes tehnikai un aprīkojumam vai novietņu aprīkošanai ar uzlabotas labturības (brīvās turēšanas sistēmas) novietnes aprīkojumu mājputnu turēšanai. Noteikumu Nr. 776 35. punktā un 2. pielikuma 4. punktā minētie ieguldījumi putnkopības nozares lauku saimniecībās aptver gan dējējvistas, gan jaunputnus, tāpat arī noteikumu Nr. 776 4. pielikuma 5. punktā minētā kritērija apakšpunkta prasību par dējējvistu jaunu mītņu būvēšanu vai esošo rekonstrukciju uz brīvo turēšanas veidu (tostarp kūtī) piemēro arī attiecībā uz jaunputnu novietnēm.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tiek precizēts noteikumu Nr. 776 42. punkts, svītrojot atsauci uz Līguma par Eiropas Savienības darbību I pielikumu un tādējādi atbalstot ieguldījumus dabiski raudzētu dzērienu ražošanai arī ārpus Līguma par Eiropas Savienības darbību I pielikumā noteikto produktu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arī noteikumu Nr. 776 43.</w:t>
      </w:r>
      <w:r w:rsidR="00000000" w:rsidRPr="00000000" w:rsidDel="00000000">
        <w:rPr>
          <w:vertAlign w:val="superscript"/>
          <w:rtl w:val="0"/>
        </w:rPr>
        <w:t xml:space="preserve">3 </w:t>
      </w:r>
      <w:r w:rsidR="00000000" w:rsidRPr="00000000" w:rsidDel="00000000">
        <w:rPr>
          <w:rtl w:val="0"/>
        </w:rPr>
        <w:t xml:space="preserve">punkts atbilstoši 2023. gada 9. martā pieņemtajiem Komisijas regulas Nr. 651/2014 grozījumiem, paredzot iespēju finansēt nemateriālos aktīvus sīkajiem (mikro), mazajiem un vidējiem komersantiem līdz 100 procentiem no sākotnējo ieguldījumu kopējām attiecināmajām ieguldījumu izmaksām.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atbalstu, ir jāņem vērā statistiskais reģions, kas bija pieejams dalībvalstu reģionālā atbalsta karšu pieņemšanas brīdī, t.i., 2021. gada  nomenklatūras 3. līmeņa (</w:t>
      </w:r>
      <w:r w:rsidR="00000000" w:rsidRPr="00000000" w:rsidDel="00000000">
        <w:rPr>
          <w:i w:val="1"/>
          <w:rtl w:val="0"/>
        </w:rPr>
        <w:t xml:space="preserve">NUTS</w:t>
      </w:r>
      <w:r w:rsidR="00000000" w:rsidRPr="00000000" w:rsidDel="00000000">
        <w:rPr>
          <w:rtl w:val="0"/>
        </w:rPr>
        <w:t xml:space="preserve"> 3. līmenis) klasifikācija. Pēc iepriekšminēto regulas Nr. 1059/2003 grozījumu spēkā stāšanās Pierīgas statistiskajam reģionam piekritīgās administratīvās vienības Limbažu novads, Ogres novads, Saulkrastu novads un Tukuma novads būs piekritīgivai nu Vidzemes statistiskajam reģionam, vai Kurzemes statistiskajam reģionam. Ministru kabineta 2021. gada 2. novembra noteikumu Nr. 729 "Noteikumi par reģionālās attīstības atbalstu Latvijas Republikā līdz 2027. gadam" 5. un 6. punktā paredzētās iespējas (atbalsta intensitāti palielināt par 10 % bruto subsīdijas ekvivalenta kā reģioniem ar sarūkošu iedzīvotāju skaitu) netiek attiecinātas uz Limbažu, Ogres, Saulkrastu un Tukuma novadu, tādējādi tiek attiecīgi precizēts noteikumu Nr. 776 43.</w:t>
      </w:r>
      <w:r w:rsidR="00000000" w:rsidRPr="00000000" w:rsidDel="00000000">
        <w:rPr>
          <w:vertAlign w:val="superscript"/>
          <w:rtl w:val="0"/>
        </w:rPr>
        <w:t xml:space="preserve">8</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776 tiek papildināti ar 52.5. apakšpunktu, nosakot, ka putnkopības un cūkkopības nozares lauku saimniecībām, īstenojot projektu atbilstoši noteikumu 35. punktā minētajam, maksimālais attiecināmo izmaksu apmērs  ir 4 000 000 </w:t>
      </w:r>
      <w:r w:rsidR="00000000" w:rsidRPr="00000000" w:rsidDel="00000000">
        <w:rPr>
          <w:i w:val="1"/>
          <w:rtl w:val="0"/>
        </w:rPr>
        <w:t xml:space="preserve">euro</w:t>
      </w:r>
      <w:r w:rsidR="00000000" w:rsidRPr="00000000" w:rsidDel="00000000">
        <w:rPr>
          <w:rtl w:val="0"/>
        </w:rPr>
        <w:t xml:space="preserve">. Attiecīgi tiek precizēts arī noteikumu Nr. 776 10.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(ES) 2013. gada 17. decembra Regulas (EK) Nr. 1305/2013 par atbalstu lauku attīstībai no Eiropas Lauksaimniecības fonda lauku attīstībai (ELFLA) un ar ko atceļ Padomes regulu (EK) Nr. 1698/2005 (turpmāk – Regula Nr. 1305/2013) 45. panta 2. punktam noteikumi Nr. 776 papildināti ar 66.4. un 69.3. apakšpunktu, nosakot, ka ir attiecināmas nekustamā īpašuma un ar to saistīto iekārtu iegādes izmaksas, ja atbalsta pretendents ir noteikumu Nr. 776 2.5. apakšpunktā minētā kooperatīvo sabiedrību apvienība. Attiecīgi noteikumi Nr. 776 papildināti arī ar 74.14. apakšpunktu, kurā noteikts, ka kooperatīvo sabiedrību apvienība, kas projektā paredz iegādāties nekustamo īpašumu un ar to saistītās iekārtas, kopā ar projekta iesniegumu Lauku atbalsta dienestā iesniedz arī nekustamā īpašuma vērtējumu.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normas nepalielina atbalsta saņēmēju izmaksas,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precizējumi ir atbalsta saņēmējiem labvēlīgi (tie palielina atbalsta saņēmēju iespējas saņemt atbalstu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precizējumiem ir tehnisks raksturs.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Primārās lauksaimniecības produkcijas ražotāji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precizētās normas paplašinās atbalsta iespējas energoefektivitātes palielināšanā.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Primārās lauksaimniecības produkcijas ražotāji, lauksaimniecības produkcijas pārstrādātāji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precizētās normas paplašinās atbalsta iespējas energoefektivitātes palielināšanā, kā arī atbalsta iespējas lauku saimniecībām cūkkopības un putnkopības nozarē.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saimniecību un saimniecisko darbību veicēju izaugsmi un palielinās konkurētspēju, tā palielinot arī nozares konkurētspēju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Kooperatīvu sabiedrību apvienības gūs iespēju saņemt atbalstu arī par ieguldījumiem nekustamā īpašuma iegādē.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paplašināt atbalsta iespējas energoefektivitātes palielināšanā, kā arī nodrošina atbalsta iespējas lauku saimniecībām cūkkopības un putnkopības nozarē, palielinot maksimālo attiecināmo izmaksu apmēru vienam atbalsta pretendentam, ja tas īsteno projektu atbilstoši noteikumu 35. punktam.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lauksaimniecības uzņēmumu izaugsmi un palielinās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Netieši var ietekmēt nodarbinātību.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02013R1305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(ES) 2013. gada 17. decembra Regula (EK) Nr. 1305/2013 par atbalstu lauku attīstībai no Eiropas Lauksaimniecības fonda lauku attīstībai (ELFLA) un ar ko atceļ Padomes regulu (EK) Nr. 1698/2005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17. jūnija Regula (ES) Nr. 651/2014, ar ko noteiktas atbalsta kategorijas atzīst par saderīgām ar iekšējo tirgu, piemērojot Līguma par Eiropas Savienības darbību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grupu atbrīvojuma regula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(ES) 2013. gada 17. decembra Regula (EK) Nr. 1305/2013 par atbalstu lauku attīstībai no Eiropas Lauksaimniecības fonda lauku attīstībai (ELFLA) un ar ko atceļ Padomes regulu (EK) Nr. 1698/2005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un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17. jūnija Regula (ES) Nr. 651/2014, ar ko noteiktas atbalsta kategorijas atzīst par saderīgām ar iekšējo tirgu, piemērojot Līguma par Eiropas Savienības darbību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Konsultatīvā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20. aprīlī notika Lauksaimnieku nevalstisko organizāciju konsultatīvās padomes sēde, kurā piedalījās Zemkopības ministrijas, Lauku atbalsta dienesta un desmit NVO pārstāvji, tajā skaitā no biedrībām "Latvijas Pārtikas uzņēmumu federācijas padome", "Lauksaimnieku organizāciju sadarbības padome", "Latvijas lauksaimniecības kooperatīvu asociācija", "Lauksaimnieku apvienība", "Latvijas Zemnieku federācija", "Latvijas Bioloģiskās lauksaimniecības asociācija", "Latvijas Jauno zemnieku klubs", "Lauksaimniecības statūtsabiedrību asociācija", "Zemnieku saeima" un "Latvijas Apvienotā putnkopības nozares asociācija".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Lauksaimnieku nevalstisko organizāciju konsultatīvās padomes sēdē NVO atbalstīja Zemkopības ministrijas ierosinājumus, kā arī noteikumu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 neatbalstīja Zemkopības ministrijas ierosinājumu maksimālo attiecināmo izmaksu apmēru cūkkopības un putnkopības uzņēmumiem palielināt no 2 000 000  līdz 4 000 000 euro. Lai veiksmīgāk sasniegtu Zemkopības ministrijas nospraustos mērķus,  biedrība “Zemnieku saeima” aicināja gaidāmo investīciju kārtu paredzēt tikai vides, klimata, energoefektivitātes un atjaunojamās enerģijas pasākumiem visās saimniecību grupās (mazās, vidējās, lielās saimniecības), novirzot plānveida un iepriekšējās kārtās neapgūto pasākuma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"Latvijas Lauksaimniecības kooperatīvu asociācija" 2023.gada 19.maijā sniegtā atzinumā neatbalstīja Zemkopības ministrijas ierosinājumu maksimālo attiecināmo izmaksu apmēru cūkkopības un putnkopības uzņēmumiem palielināt no 2 000 000  līdz 4 000 000 euro, bet aicinā daļu no atlikušā finansējuma putnkopības vai cūkkopības nozarei, tas ir  6 000 000 euro novirzīt apakšpasākumam “4.2.Atbalsts ieguldījumiem pārstrādē”.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viedokļi par attiecināmo iemaksu palielinājumu atsevišķām organizācijām atšķīrās, tomēr ņemot vērā izaicinājumus cūkkopības un putnkopības nozarē, ministrija uzskata, ka jāsniedz iespēja realizēt projektus šajās nozarēs.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23-TA-908</w:t>
    </w:r>
    <w:r>
      <w:br/>
    </w:r>
    <w:r w:rsidR="00000000" w:rsidRPr="00000000" w:rsidDel="00000000">
      <w:rPr>
        <w:rtl w:val="0"/>
      </w:rPr>
      <w:t xml:space="preserve">Izdrukāts 29.07.2026. 21.33 - 3.0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23-TA-908</w:t>
    </w:r>
    <w:r>
      <w:br/>
    </w:r>
    <w:r w:rsidR="00000000" w:rsidRPr="00000000" w:rsidDel="00000000">
      <w:rPr>
        <w:rtl w:val="0"/>
      </w:rPr>
      <w:t xml:space="preserve">Izdrukāts 29.07.2026. 21.33 - 3.0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anotācija_(ex_ante)_23-TA-908.docx</dc:title>
</cp:coreProperties>
</file>

<file path=docProps/custom.xml><?xml version="1.0" encoding="utf-8"?>
<Properties xmlns="http://schemas.openxmlformats.org/officeDocument/2006/custom-properties" xmlns:vt="http://schemas.openxmlformats.org/officeDocument/2006/docPropsVTypes"/>
</file>