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"Emisijas kvotu izsolīšanas instrumenta finansēto projektu atklāta konkursa "Siltumnīcefekta gāzu emisiju samazināšana mājsaimniecībās – atbalsts atjaunojamo energoresursu izmantošanai"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(turpmāk - MK noteikumu projekts) izstrādāts saskaņā ar Klimatnoturības un ekonomiskās ilgtspējas likuma 15. panta astotās daļas 2. punktu, kas paredz Ministru kabinetam izdot projektu iesniegumu konkursu nolikumus, kuros nosaka projektu iesniegumu vērtēšanas kritērijus, komercdarbības atbalsta piešķiršanas nosacījumus, projektu iesniegumu iesniegšanas, izskatīšanas, apstiprināšanas un finansējuma piešķiršanas kārtību, projektu īstenošanas kārtību, pārskatu iesniegšanas un pārbaudes kārtību, kā arī neattiecināmo Emisijas kvotu izsolīšanas instrumenta līdzekļu atgūšanas nosacījumus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Ministru kabineta 2022. gada 1. marta noteikumi Nr. 150 "Emisijas kvotu izsolīšanas instrumenta finansēto projektu atklāta konkursa "Siltumnīcefekta gāzu emisiju samazināšana mājsaimniecībās – atbalsts atjaunojamo energoresursu izmantošanai" nolikums" (turpmāk - noteikumi Nr. 150) nosaka Emisijas kvotu izsolīšanas instrumenta finansēto projektu atklāta konkursa "Siltumnīcefekta gāzu emisiju samazināšana mājsaimniecībās – atbalsts atjaunojamo energoresursu izmantošanai" nolikumu, projektu iesniegumu vērtēšanas kritērijus, projektu iesniegumu iesniegšanas, vērtēšanas, apstiprināšanas un finansējuma piešķiršanas kārtību, kā arī projektu īstenošanas, pārskatu iesniegšanas un pārbaudes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(turpmāk - ministrija) identificēja nepieciešamību papildināt noteikumus Nr. 150 ar nosacījumiem, lai konkursa ietvaros palielinātu atbalsta apmēru personām, kurām ir piešķirta Latvijas Goda ģimenes apliecība, papildinātu ar jaunu atbalstāmo aktivitāti, kā arī precizētu citus nosacījumus, lai veicinātu efektīvāku konkursa norisi. Noteikumu Nr. 150 grozījumi tika izstrādāti Vienotajā tiesību aktu projektu izstrādes un saskaņošanas portālā ar TA lietas Nr. 25-TA-3093. Attiecīgajam noteikumu projektam veikta publiskā apspriešana, kā arī nodrošināta starpinstitūciju saskaņošana.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noteikumu Nr. 150 izdošanas tiesiskais pamatojums izrietēja no likuma "Par piesārņojumu" 32.</w:t>
      </w:r>
      <w:r w:rsidR="00000000" w:rsidRPr="00000000" w:rsidDel="00000000">
        <w:rPr>
          <w:vertAlign w:val="superscript"/>
          <w:rtl w:val="0"/>
        </w:rPr>
        <w:t xml:space="preserve">2</w:t>
      </w:r>
      <w:r w:rsidR="00000000" w:rsidRPr="00000000" w:rsidDel="00000000">
        <w:rPr>
          <w:rtl w:val="0"/>
        </w:rPr>
        <w:t xml:space="preserve"> panta 4.</w:t>
      </w:r>
      <w:r w:rsidR="00000000" w:rsidRPr="00000000" w:rsidDel="00000000">
        <w:rPr>
          <w:vertAlign w:val="superscript"/>
          <w:rtl w:val="0"/>
        </w:rPr>
        <w:t xml:space="preserve">6</w:t>
      </w:r>
      <w:r w:rsidR="00000000" w:rsidRPr="00000000" w:rsidDel="00000000">
        <w:rPr>
          <w:rtl w:val="0"/>
        </w:rPr>
        <w:t xml:space="preserve"> daļas. Vienlaikus "Par piesārņojumu" 32.</w:t>
      </w:r>
      <w:r w:rsidR="00000000" w:rsidRPr="00000000" w:rsidDel="00000000">
        <w:rPr>
          <w:vertAlign w:val="superscript"/>
          <w:rtl w:val="0"/>
        </w:rPr>
        <w:t xml:space="preserve">2</w:t>
      </w:r>
      <w:r w:rsidR="00000000" w:rsidRPr="00000000" w:rsidDel="00000000">
        <w:rPr>
          <w:rtl w:val="0"/>
        </w:rPr>
        <w:t xml:space="preserve"> pants ir zaudējis spēku 2025. gada 12. decembrī. Saskaņā ar Oficiālo publikāciju un tiesiskās informācijas likuma 9. pantu piekto daļu, ja spēku zaudē normatīvā akta izdošanas tiesiskais pamats, tad spēku zaudē arī uz šā pamata izdotais normatīvais akts. To apliecina arī likumdevēja Klimatnoturības un ekonomiskās ilgspējas likuma pārejas noteikumos norādītais, ka uzskaitītie uz likuma "Par piesārņojumu" pamata izdotie Ministru kabineta noteikumi ir piemērojami, nevis ka tie ir spēkā. Savukārt normatīvo aktu, kas nav spēkā, tiesiski nav iespējams grozīt, un noteikumus Nr. 150 nepieciešams izteikt jaunā redakcijā, izdošanas pamatojumā norādot spēkā esošu deleģējošo normu.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izteikt jaunā redakcijā noteikumus Nr. 150, papildus izdarot noteikumos Nr. 150 grozījumus, kas Vienotajā tiesību aktu projektu izstrādes un saskaņošanas portālā tika virzīti ar TA lietas Nr. 25-TA-3093.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nosaka Emisijas kvotu izsolīšanas instrumenta (turpmāk – EKII) finansēto projektu atklāta konkursa "Siltumnīcefekta gāzu emisiju samazināšana mājsaimniecībās – atbalsts atjaunojamo energoresursu izmantošanai" (turpmāk – konkurss) nolikumu.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izteikt jaunā redakcijā noteikumus Nr. 150, papildus izdarot noteikumos Nr. 150 grozījumus, kas Vienotajā tiesību aktu projektu izstrādes un saskaņošanas portālā tika virzīti ar TA lietas Nr. 25-TA-3093. Ņemot vērā iepriekš minēto, turpmākā informācija attiecināma uz grozījumiem, kuri tiek izdarīti attiecībā pret spēkā esošo noteikumu Nr. 150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vides, ģeoloģijas un meteoroloģijas centra publicēto kopsavilkumu par "2024. gada siltumnīcefekta gāzu inventarizāciju" (turpmāk – SEG) (1990. – 2024. gads) , enerģētikas sektors (neieskaitot transportu) 2024. gadā radīja 34,9% no kopējām SEG emisijām (neieskaitot zemes izmantošanu, zemes izmantošanas maiņu un mežsaimniecību (turpmāk – ZIZIMM) un ieskaitot netiešās CO2 emisijas). Lielākais apakšsektors, kas rada SEG emisijas šajā sektorā, ir elektroenerģijas un siltumenerģijas ražošana, t.sk. mājsaimniecības, kas radīja 16,1% no kopējām enerģētikas emisijām (neieskaitot transportu un ZIZIMM un ieskaitot netiešās CO2 emisijas). Līdz ar to ir nepieciešams veicināt mājsaimniecību pāreju no fosilo energoresursu (it īpaši dabasgāzes) izmantošanas uz siltumenerģijas un elektroenerģijas ražošanu no AER, kā arī pieslēgšanos centralizētajai siltumapgādes sistēmai.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Latvijā mājsaimniecībām atbalsts atjaunojamo energoresursu izmantošanas iegādei tika sniegts Klimata pārmaiņu finanšu instrumenta (turpmāk - KPFI) un Emisijas kvotu izsolīšanas instrumenta (turpmāk - EKII) atbalsta programmu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vērojama ļoti augsta iedzīvotāju interese saistībā ar AER izmantojošo iekārtu iegādi un uzstādīšanu, ņemot vērā augstās energoresursu (t.sk. dabasgāzes) un elektroenerģijas cenas. Ņemot vērā panākto konceptuālo vienošanos par atbalsta sniegšanu iedzīvotājiem, ir izstrādāts konkrētais tiesību akta projekts, kas ir vidēja termiņa pasākums atbalsta sniegšanai mājsaimniecībām pārejai no fosilā kurināmā apkures uz ilgtspējīgiem apkures veidiem un elektroenerģijas ražošanai no AER izmantojošām iekārtām, lai sniegtu atbalstu iedzīvotājiem saistībā ar strauji pieaugošajām energoresursu un enerģijas cenām.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Līdzšinējā pieredze EKII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2026. gada 10. maiju konkursa ietvaros ir iesniegti 15 706 projektu iesniegumi par kopējo pieprasīto EKII finansējumu 59 313 527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150 4. punktā noteiktais paredz konkursa ietvaros pieejamo kopējo EKII atbalstu 85 milj. </w:t>
      </w:r>
      <w:r w:rsidR="00000000" w:rsidRPr="00000000" w:rsidDel="00000000">
        <w:rPr>
          <w:i w:val="1"/>
          <w:rtl w:val="0"/>
        </w:rPr>
        <w:t xml:space="preserve">euro</w:t>
      </w:r>
      <w:r w:rsidR="00000000" w:rsidRPr="00000000" w:rsidDel="00000000">
        <w:rPr>
          <w:rtl w:val="0"/>
        </w:rPr>
        <w:t xml:space="preserve">, savukārt 5. punkts paredz, ka konkursa ietvaros aktivitātes, kas iekļautas apstiprinātajos projektu iesniegumos īsteno līdz 2029. gada 31. decembrim, vai brīdim, kad beidzas minētais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iedzīvotāju līdzšinējo interesi (mēneša laikā atjaunīgo energoresursu tehnoloģijas iedzīvotāji iegādājas par kopējo summu ap 0,8 milj. </w:t>
      </w:r>
      <w:r w:rsidR="00000000" w:rsidRPr="00000000" w:rsidDel="00000000">
        <w:rPr>
          <w:i w:val="1"/>
          <w:rtl w:val="0"/>
        </w:rPr>
        <w:t xml:space="preserve">euro</w:t>
      </w:r>
      <w:r w:rsidR="00000000" w:rsidRPr="00000000" w:rsidDel="00000000">
        <w:rPr>
          <w:rtl w:val="0"/>
        </w:rPr>
        <w:t xml:space="preserve"> apmērā), kā arī to, ka iniciatīvas attiecībā uz pasākumu ieviešanu klimata un gaisa aizsardzības politikas mērķu sasniegšanai paplašināsies (aktualizētais Nacionālais enerģētikas un klimata plāns 2021. - 2030. gadam; Klimatnoturības un ekonomiskās ilgtspējas likums; Smalko daļiņu, amonjaka, slāpekļa oksīdu, gaistošo organisko savienojumu un sēra dioksīda emisiju samazināšanas plāns 2026. ‒ 2030. gadam) ir prognozējams, ka arī turpmāk būs aktīva interese no iedzīvotāju puses iegādāties videi draudzīgas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 Projektos izvēlētie risinājumi</w:t>
      </w:r>
    </w:p>
    <w:tbl>
      <w:tblPr>
        <w:tblStyle w:val="DefaultTable"/>
        <w:bidiVisual w:val="0"/>
        <w:tblW w:w="9641.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162"/>
        <w:gridCol w:w="3086"/>
        <w:gridCol w:w="2941"/>
        <w:tblGridChange w:id="0">
          <w:tblGrid>
            <w:gridCol w:w="3162"/>
            <w:gridCol w:w="3086"/>
            <w:gridCol w:w="294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Aktivitāte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Realizēto projektu skaits</w:t>
            </w:r>
            <w:r w:rsidR="00000000" w:rsidRPr="00000000" w:rsidDel="00000000">
              <w:rPr>
                <w:sz w:val="24"/>
                <w:b w:val="1"/>
                <w:vertAlign w:val="superscript"/>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Kopējā jauda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koksnes biomasas katls, kas piemērots granulu kurināmajam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3408 kW</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saules kolektoru sistēma ar akumulācijas tvertni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3699 litri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siltumsūknis (zeme-ūdens tipa)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877 kW</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siltumsūknis (gaiss-ūdens tipa)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9582 kW</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siltumsūknis (gaiss-gaiss tipa)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220 kW</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saules elektrostacija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14 506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118 911 kW</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vēja elektrostacija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 kW</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mājsaimniecības pieslēguma centralizētajai siltumapgādes sistēmai projektēšana un siltummezgla izveide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821 kW</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elektroenerģijas uzglabāšanas iekārta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24 041 kWh</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vertAlign w:val="superscript"/>
          <w:rtl w:val="0"/>
        </w:rPr>
        <w:t xml:space="preserve">1</w:t>
      </w:r>
      <w:r w:rsidR="00000000" w:rsidRPr="00000000" w:rsidDel="00000000">
        <w:rPr>
          <w:i w:val="1"/>
          <w:rtl w:val="0"/>
        </w:rPr>
        <w:t xml:space="preserve"> vienā projektā var būt vienlaicīgi īstenotas vairākas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Ar EKII līdzfinansējumu īstenoto aktivitāšu rādītāji līdz 2026. gada 10. maijam</w:t>
      </w:r>
      <w:r w:rsidR="00000000" w:rsidRPr="00000000" w:rsidDel="00000000">
        <w:rPr>
          <w:rtl w:val="0"/>
        </w:rPr>
        <w:t xml:space="preserve">
</w:t>
      </w:r>
    </w:p>
    <w:tbl>
      <w:tblPr>
        <w:tblStyle w:val="DefaultTable"/>
        <w:bidiVisual w:val="0"/>
        <w:tblW w:w="9641.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061"/>
        <w:gridCol w:w="976"/>
        <w:gridCol w:w="772"/>
        <w:gridCol w:w="1030"/>
        <w:gridCol w:w="922"/>
        <w:gridCol w:w="1179"/>
        <w:gridCol w:w="1265"/>
        <w:gridCol w:w="1233"/>
        <w:tblGridChange w:id="0">
          <w:tblGrid>
            <w:gridCol w:w="1061"/>
            <w:gridCol w:w="976"/>
            <w:gridCol w:w="772"/>
            <w:gridCol w:w="1030"/>
            <w:gridCol w:w="922"/>
            <w:gridCol w:w="1179"/>
            <w:gridCol w:w="1265"/>
            <w:gridCol w:w="123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Aktivitāte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Apakšaktivitāte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Projekta attiecināmās izmaksas,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Pieprasītais EKII finansējums, </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i w:val="1"/>
                <w:rtl w:val="0"/>
              </w:rPr>
              <w:t xml:space="preserve">euro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EKII atbalsts,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Apstiprinātais EKII finansējums,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Indikatīvais CO</w:t>
            </w:r>
            <w:r w:rsidR="00000000" w:rsidRPr="00000000" w:rsidDel="00000000">
              <w:rPr>
                <w:sz w:val="24"/>
                <w:vertAlign w:val="superscript"/>
                <w:rtl w:val="0"/>
              </w:rPr>
              <w:t xml:space="preserve">2</w:t>
            </w:r>
            <w:r w:rsidR="00000000" w:rsidRPr="00000000" w:rsidDel="00000000">
              <w:rPr>
                <w:sz w:val="24"/>
                <w:rtl w:val="0"/>
              </w:rPr>
              <w:t xml:space="preserve"> emisijas samazinājums, 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Pasākuma izmaksu efektivitāte,</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kgCO</w:t>
            </w:r>
            <w:r w:rsidR="00000000" w:rsidRPr="00000000" w:rsidDel="00000000">
              <w:rPr>
                <w:sz w:val="24"/>
                <w:vertAlign w:val="superscript"/>
                <w:rtl w:val="0"/>
              </w:rPr>
              <w:t xml:space="preserve">2</w:t>
            </w:r>
            <w:r w:rsidR="00000000" w:rsidRPr="00000000" w:rsidDel="00000000">
              <w:rPr>
                <w:sz w:val="24"/>
                <w:rtl w:val="0"/>
              </w:rPr>
              <w:t xml:space="preserve">/EUR (EUR/tCO</w:t>
            </w:r>
            <w:r w:rsidR="00000000" w:rsidRPr="00000000" w:rsidDel="00000000">
              <w:rPr>
                <w:sz w:val="24"/>
                <w:vertAlign w:val="subscript"/>
                <w:rtl w:val="0"/>
              </w:rPr>
              <w:t xml:space="preserve">2</w:t>
            </w:r>
            <w:r w:rsidR="00000000" w:rsidRPr="00000000" w:rsidDel="00000000">
              <w:rPr>
                <w:sz w:val="24"/>
                <w:rtl w:val="0"/>
              </w:rPr>
              <w:t xml:space="preserve">)</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Esoša fosilos energoresursus izmantojoša apkures katla nomaiņa</w:t>
            </w:r>
            <w:r w:rsidR="00000000" w:rsidRPr="00000000" w:rsidDel="00000000">
              <w:rPr>
                <w:sz w:val="24"/>
                <w:vertAlign w:val="superscript"/>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koksnes biomasas katls, kas piemērots granulu kurināmajam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776895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498923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416928</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35773163</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(126)</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saules kolektoru sistēma ar akumulācijas tvertni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50753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32056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24697</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Siltumsūknis (zeme-ūdens tipa)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913596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560129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475210</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siltumsūknis (gaiss-ūdens tipa)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7036087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3933946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3552944</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siltumsūknis (gaiss-gaiss tipa)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73566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65108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45291</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Jaunas elektroenerģijas ražošanas iekārtas iegāde</w:t>
            </w:r>
            <w:r w:rsidR="00000000" w:rsidRPr="00000000" w:rsidDel="00000000">
              <w:rPr>
                <w:sz w:val="24"/>
                <w:vertAlign w:val="superscript"/>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saules elektrostacija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97831513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48870246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47806771</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63021467</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1,32</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(760)</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vēja elektrostacija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17344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11000</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Pieslēgums centralizētajai siltumapgādes sistēmai</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mājsaimniecības pieslēguma centralizētajai siltumapgādes sistēmai projektēšana un siltummezgla izveide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127034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89085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8298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600865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7,24</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Elektroenerģijas uzglabāšanas iekārta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elektroenerģijas uzglabāšanas iekārta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8344976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5395564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527526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Aktivitāte tiek īstenota vienlaikus ar jaunas elektroenerģijas ražošanas iekārtas iegādi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Aktivitāte tiek īstenota vienlaikus ar jaunas elektroenerģijas ražošanas iekārtas iegādi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115171764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59456057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57691089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Projektos aizstātais apkures kurināmā veids (apstiprinātie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dabas gāze - 825;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ogles - 111;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dīzeļdegviela - 56;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sašķidrinātā gāze - 44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kūdras briketes - 4.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izvēli pieslēgties centralizētajai siltumapgādei ir izvēlējušies Liepājas un Ventspils pilsētu, kā arī Talsu, Madonas, Liepājas, Kuldīgas, Ventspils, Cēsu un Salaspils novadu 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2</w:t>
      </w:r>
      <w:r w:rsidR="00000000" w:rsidRPr="00000000" w:rsidDel="00000000">
        <w:rPr>
          <w:rtl w:val="0"/>
        </w:rPr>
        <w:t xml:space="preserve"> - indikatīvo CO</w:t>
      </w:r>
      <w:r w:rsidR="00000000" w:rsidRPr="00000000" w:rsidDel="00000000">
        <w:rPr>
          <w:vertAlign w:val="subscript"/>
          <w:rtl w:val="0"/>
        </w:rPr>
        <w:t xml:space="preserve">2</w:t>
      </w:r>
      <w:r w:rsidR="00000000" w:rsidRPr="00000000" w:rsidDel="00000000">
        <w:rPr>
          <w:rtl w:val="0"/>
        </w:rPr>
        <w:t xml:space="preserve"> emisijas samazinājumu apstiprinātajos projektos aprēķina pēc šādas formulas: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w:t>
      </w:r>
      <w:r w:rsidR="00000000" w:rsidRPr="00000000" w:rsidDel="00000000">
        <w:rPr>
          <w:vertAlign w:val="superscript"/>
          <w:rtl w:val="0"/>
        </w:rPr>
        <w:t xml:space="preserve">2</w:t>
      </w:r>
      <w:r w:rsidR="00000000" w:rsidRPr="00000000" w:rsidDel="00000000">
        <w:rPr>
          <w:rtl w:val="0"/>
        </w:rPr>
        <w:t xml:space="preserve">=CO</w:t>
      </w:r>
      <w:r w:rsidR="00000000" w:rsidRPr="00000000" w:rsidDel="00000000">
        <w:rPr>
          <w:vertAlign w:val="superscript"/>
          <w:rtl w:val="0"/>
        </w:rPr>
        <w:t xml:space="preserve">2</w:t>
      </w:r>
      <w:r w:rsidR="00000000" w:rsidRPr="00000000" w:rsidDel="00000000">
        <w:rPr>
          <w:rtl w:val="0"/>
        </w:rPr>
        <w:t xml:space="preserve"> kurināmais (izņemot, ja projektā apstiprināts siltumsūknis)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w:t>
      </w:r>
      <w:r w:rsidR="00000000" w:rsidRPr="00000000" w:rsidDel="00000000">
        <w:rPr>
          <w:vertAlign w:val="superscript"/>
          <w:rtl w:val="0"/>
        </w:rPr>
        <w:t xml:space="preserve">2</w:t>
      </w:r>
      <w:r w:rsidR="00000000" w:rsidRPr="00000000" w:rsidDel="00000000">
        <w:rPr>
          <w:rtl w:val="0"/>
        </w:rPr>
        <w:t xml:space="preserve">=CO</w:t>
      </w:r>
      <w:r w:rsidR="00000000" w:rsidRPr="00000000" w:rsidDel="00000000">
        <w:rPr>
          <w:vertAlign w:val="superscript"/>
          <w:rtl w:val="0"/>
        </w:rPr>
        <w:t xml:space="preserve">2</w:t>
      </w:r>
      <w:r w:rsidR="00000000" w:rsidRPr="00000000" w:rsidDel="00000000">
        <w:rPr>
          <w:rtl w:val="0"/>
        </w:rPr>
        <w:t xml:space="preserve"> kurināmais - CO</w:t>
      </w:r>
      <w:r w:rsidR="00000000" w:rsidRPr="00000000" w:rsidDel="00000000">
        <w:rPr>
          <w:vertAlign w:val="superscript"/>
          <w:rtl w:val="0"/>
        </w:rPr>
        <w:t xml:space="preserve">2</w:t>
      </w:r>
      <w:r w:rsidR="00000000" w:rsidRPr="00000000" w:rsidDel="00000000">
        <w:rPr>
          <w:rtl w:val="0"/>
        </w:rPr>
        <w:t xml:space="preserve"> siltumsūknis (ja projektā apstiprināts siltumsūknis),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w:t>
      </w:r>
      <w:r w:rsidR="00000000" w:rsidRPr="00000000" w:rsidDel="00000000">
        <w:rPr>
          <w:vertAlign w:val="subscript"/>
          <w:rtl w:val="0"/>
        </w:rPr>
        <w:t xml:space="preserve">2</w:t>
      </w:r>
      <w:r w:rsidR="00000000" w:rsidRPr="00000000" w:rsidDel="00000000">
        <w:rPr>
          <w:rtl w:val="0"/>
        </w:rPr>
        <w:t xml:space="preserve"> – CO</w:t>
      </w:r>
      <w:r w:rsidR="00000000" w:rsidRPr="00000000" w:rsidDel="00000000">
        <w:rPr>
          <w:vertAlign w:val="subscript"/>
          <w:rtl w:val="0"/>
        </w:rPr>
        <w:t xml:space="preserve">2</w:t>
      </w:r>
      <w:r w:rsidR="00000000" w:rsidRPr="00000000" w:rsidDel="00000000">
        <w:rPr>
          <w:rtl w:val="0"/>
        </w:rPr>
        <w:t xml:space="preserve"> emisijas samazinājums projektā, kg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w:t>
      </w:r>
      <w:r w:rsidR="00000000" w:rsidRPr="00000000" w:rsidDel="00000000">
        <w:rPr>
          <w:vertAlign w:val="subscript"/>
          <w:rtl w:val="0"/>
        </w:rPr>
        <w:t xml:space="preserve">2</w:t>
      </w:r>
      <w:r w:rsidR="00000000" w:rsidRPr="00000000" w:rsidDel="00000000">
        <w:rPr>
          <w:rtl w:val="0"/>
        </w:rPr>
        <w:t xml:space="preserve"> siltumsūknis =V</w:t>
      </w:r>
      <w:r w:rsidR="00000000" w:rsidRPr="00000000" w:rsidDel="00000000">
        <w:rPr>
          <w:vertAlign w:val="subscript"/>
          <w:rtl w:val="0"/>
        </w:rPr>
        <w:t xml:space="preserve">kurināmā</w:t>
      </w:r>
      <w:r w:rsidR="00000000" w:rsidRPr="00000000" w:rsidDel="00000000">
        <w:rPr>
          <w:vertAlign w:val="subscript"/>
          <w:rtl w:val="0"/>
        </w:rPr>
        <w:t xml:space="preserve"> apjom</w:t>
      </w:r>
      <w:r w:rsidR="00000000" w:rsidRPr="00000000" w:rsidDel="00000000">
        <w:rPr>
          <w:rtl w:val="0"/>
        </w:rPr>
        <w:t xml:space="preserve">s × Q</w:t>
      </w:r>
      <w:r w:rsidR="00000000" w:rsidRPr="00000000" w:rsidDel="00000000">
        <w:rPr>
          <w:vertAlign w:val="subscript"/>
          <w:rtl w:val="0"/>
        </w:rPr>
        <w:t xml:space="preserve">faktors</w:t>
      </w:r>
      <w:r w:rsidR="00000000" w:rsidRPr="00000000" w:rsidDel="00000000">
        <w:rPr>
          <w:rtl w:val="0"/>
        </w:rPr>
        <w:t xml:space="preserve"> / 3,6 / COP × 0,109 × 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 – CO</w:t>
      </w:r>
      <w:r w:rsidR="00000000" w:rsidRPr="00000000" w:rsidDel="00000000">
        <w:rPr>
          <w:vertAlign w:val="subscript"/>
          <w:rtl w:val="0"/>
        </w:rPr>
        <w:t xml:space="preserve">2</w:t>
      </w:r>
      <w:r w:rsidR="00000000" w:rsidRPr="00000000" w:rsidDel="00000000">
        <w:rPr>
          <w:rtl w:val="0"/>
        </w:rPr>
        <w:t xml:space="preserve"> emisijas faktors elektroenerģijai, kgCO</w:t>
      </w:r>
      <w:r w:rsidR="00000000" w:rsidRPr="00000000" w:rsidDel="00000000">
        <w:rPr>
          <w:vertAlign w:val="subscript"/>
          <w:rtl w:val="0"/>
        </w:rPr>
        <w:t xml:space="preserve">2</w:t>
      </w:r>
      <w:r w:rsidR="00000000" w:rsidRPr="00000000" w:rsidDel="00000000">
        <w:rPr>
          <w:rtl w:val="0"/>
        </w:rPr>
        <w:t xml:space="preserve">/kWh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Q</w:t>
      </w:r>
      <w:r w:rsidR="00000000" w:rsidRPr="00000000" w:rsidDel="00000000">
        <w:rPr>
          <w:vertAlign w:val="subscript"/>
          <w:rtl w:val="0"/>
        </w:rPr>
        <w:t xml:space="preserve">faktors</w:t>
      </w:r>
      <w:r w:rsidR="00000000" w:rsidRPr="00000000" w:rsidDel="00000000">
        <w:rPr>
          <w:rtl w:val="0"/>
        </w:rPr>
        <w:t xml:space="preserve"> – zemākais sadegšanas siltums, MJ/m</w:t>
      </w:r>
      <w:r w:rsidR="00000000" w:rsidRPr="00000000" w:rsidDel="00000000">
        <w:rPr>
          <w:vertAlign w:val="superscript"/>
          <w:rtl w:val="0"/>
        </w:rPr>
        <w:t xml:space="preserve">3</w:t>
      </w:r>
      <w:r w:rsidR="00000000" w:rsidRPr="00000000" w:rsidDel="00000000">
        <w:rPr>
          <w:rtl w:val="0"/>
        </w:rPr>
        <w:t xml:space="preserve"> vai MJ/kg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w:t>
      </w:r>
      <w:r w:rsidR="00000000" w:rsidRPr="00000000" w:rsidDel="00000000">
        <w:rPr>
          <w:vertAlign w:val="subscript"/>
          <w:rtl w:val="0"/>
        </w:rPr>
        <w:t xml:space="preserve">kurināmā</w:t>
      </w:r>
      <w:r w:rsidR="00000000" w:rsidRPr="00000000" w:rsidDel="00000000">
        <w:rPr>
          <w:vertAlign w:val="subscript"/>
          <w:rtl w:val="0"/>
        </w:rPr>
        <w:t xml:space="preserve"> apjoms</w:t>
      </w:r>
      <w:r w:rsidR="00000000" w:rsidRPr="00000000" w:rsidDel="00000000">
        <w:rPr>
          <w:rtl w:val="0"/>
        </w:rPr>
        <w:t xml:space="preserve"> – kurināmā patēriņš gada laikā pirms projekta realizācijas, m</w:t>
      </w:r>
      <w:r w:rsidR="00000000" w:rsidRPr="00000000" w:rsidDel="00000000">
        <w:rPr>
          <w:vertAlign w:val="superscript"/>
          <w:rtl w:val="0"/>
        </w:rPr>
        <w:t xml:space="preserve">3</w:t>
      </w:r>
      <w:r w:rsidR="00000000" w:rsidRPr="00000000" w:rsidDel="00000000">
        <w:rPr>
          <w:rtl w:val="0"/>
        </w:rPr>
        <w:t xml:space="preserve"> vai kg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3,600 – koeficients pārejai no MJ uz kWh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COP – siltumsūkņa lietderības koeficients – 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 monitoringa periods,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 indikatīvo CO2 emisijas samazinājumu aprēķina pēc šādas formulas: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CO2=Njauda × 1000 × 0,109 × 5,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CO2 – CO2 emisijas samazinājums projektā, kg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Njauda – uzstādītās atjaunīgo energoresursu iekārtas nominālā jauda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1000 – iekārtas darbības laiks gadā, h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 – CO2 emisijas faktors elektroenerģijai, kgCO2/kWh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 pieci monitoringa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Projektos indikatīvi plānotais CO</w:t>
      </w:r>
      <w:r w:rsidR="00000000" w:rsidRPr="00000000" w:rsidDel="00000000">
        <w:rPr>
          <w:vertAlign w:val="subscript"/>
          <w:rtl w:val="0"/>
        </w:rPr>
        <w:t xml:space="preserve">2</w:t>
      </w:r>
      <w:r w:rsidR="00000000" w:rsidRPr="00000000" w:rsidDel="00000000">
        <w:rPr>
          <w:rtl w:val="0"/>
        </w:rPr>
        <w:t xml:space="preserve"> emisiju samazinājums ir indikatīva un vienkāršoti aprēķināta informācija, ko balstoties uz datiem par īstenotajiem projektiem, aprēķina Sabiedrība ar ierobežotu atbildību "Vides investīciju fonds" (turpmāk - Vides investīciju fonds). Aprēķinos tiek ņemti vērā fosilo energoresursu dažādie CO</w:t>
      </w:r>
      <w:r w:rsidR="00000000" w:rsidRPr="00000000" w:rsidDel="00000000">
        <w:rPr>
          <w:vertAlign w:val="subscript"/>
          <w:rtl w:val="0"/>
        </w:rPr>
        <w:t xml:space="preserve">2</w:t>
      </w:r>
      <w:r w:rsidR="00000000" w:rsidRPr="00000000" w:rsidDel="00000000">
        <w:rPr>
          <w:rtl w:val="0"/>
        </w:rPr>
        <w:t xml:space="preserve"> emisijas faktori un vidējais elektroenerģijas CO2 emisijas faktors projektos, kuros ir iegādāti un uzstādīti siltumsūkņi. Atbilstoši MK noteikumu Nr.150 nosacījumiem atbalsts atjaunīgo energoresursu iekārtu iegādei tiek sniegts, ja pilnībā tiek nomainīta esoša fosilos energoresursus (piemēram, dabasgāze, akmeņogles) izmantojoša iekārta (apkures katls).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Detalizēta statistiskā informācija par sniegto atbalstu konkursa ietvaros ir pieejama tīmekļa vietnē - https://ekii.lv/index.php?page=atbalsts-majsaimniecibam.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izteikt jaunā redakcijā noteikumus Nr. 150, papildus izdarot noteikumos Nr. 150 grozījumus, kas Vienotajā tiesību aktu projektu izstrādes un saskaņošanas portālā tika virzīti ar TA lietas Nr. 25-TA-3093. Ņemot vērā iepriekš minēto, turpmākā informācija attiecināma uz grozījumiem, kuri tiek izdarīti attiecībā pret spēkā esošo noteikumu Nr. 150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ģeopolitisko situāciju, pieejamo EKII finansējuma apjomu konkursa ietvaros, kā arī iedzīvotāju pastiprināto interesi iegādāties un uzstādīt atjaunīgo energoresursu izmantojošas iekārtas enerģijas ražošanai mājsaimniecībās pašpatēriņa nodrošināšanai, ir nepieciešams palielināt atbalstāmo darbību loku, lai pēc iespējas vairāk iedzīvotāju varētu turpināt saņemt atbalstu konkursa ietvaros. Savukārt, lai pilnveidotu līdzšinējo pieeju un sniegtu mērķētu atbalstu, nepieciešams pārskatīt konkursa ietvaros noteikto atbalsta intensitāti atsevišķām mērķgrupām. Ņemot vērā iepriekš minēto, ar noteikumu projektu tiek piedāvāts paaugstināt atbalsta intensitāti Latvijas Goda ģimenes apliecības turētājiem. Apliecība "Goda ģimene" ir valsts veidota  atbalsta programma daudzbērnu ģimenēm, kurās audzina trīs vai vairāk bērnus, tajā skaitā audžuģimenēs vai aizbildnībā esošus bērnus līdz 18 gadu vecumam. Tāpat apliecība pieejama pilngadīgām personām, kas nav sasniegušas 24 gadu vecumu, ja tās iegūst vispārējo, profesionālo vai augstāko izglītību vai 11 mēnešus dien vispārējā valsts aizsardzības dienestu, kā arī ģimenēm, kurās tiek aprūpēts bērns ar invaliditāti vai pilngadīga persona līdz 24 gadiem ar I vai II grupas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attiecīgais personu loks jau līdz šim varēja pretendēt uz programmas finansējumu vispārīgajā kārtībā, līdzšinējie nosacījumi neparedz palielinātu atbalsta intensitāti. Iestrādātie grozījumi sniedz būtisku sociālekonomisku stimulu un papildu motivāciju šai mērķgrupai, kurai sākotnējās investīcijas atjaunojamo energoresursu tehnoloģiju uzstādīšanā bieži vien ir apgrūtinātas. Līdz ar to grozījumi sekmīgi salāgo vides politikas mērķus ar mērķtiecīgu sociālo atbalstu, nodrošinot racionālu un taisnīgu investīciju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mājsaimniecību izvēli starp noteikumos Nr. 150 piedāvātajām aktivitātēm, tika secināts, ka tikai 0,14% no mājsaimniecībām ir izvēlējušās veikt pieslēgumu centralizētajai siltumapgādes sistēmai, kas liecina par zemu interesi salīdzinot ar citām piedāvātajām aktivitātēm. Pastāv vairāki iemesli kāpēc mājsaimniecības neizvēlās iepriekš minēto aktivitāti, proti, siltumtīklu nepieejamība, augstas pieslēguma izmaksas (projekta sagatavošana, siltummezgla izbūve un cauruļvadu pievilkšana), siltumenerģijas tarifu neprognozējamība (centralizētās siltumapgādes tarifi var mainīties atkarībā no kurināmā veida, kurināmā cenas, regulējuma un siltumenerģijas ražošanas uzņēmuma politikas) un atkarība no viena piegādātāja.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kvalitāti negatīvi ietekmē vecu un mazefektīvu biomasas katlu izmantošana, kā arī zemas kvalitātes biomasas kurināmā izmantošana, īpaši mājsaimniecību sektorā. Galvenie daļiņu PM</w:t>
      </w:r>
      <w:r w:rsidR="00000000" w:rsidRPr="00000000" w:rsidDel="00000000">
        <w:rPr>
          <w:vertAlign w:val="subscript"/>
          <w:rtl w:val="0"/>
        </w:rPr>
        <w:t xml:space="preserve">2,5</w:t>
      </w:r>
      <w:r w:rsidR="00000000" w:rsidRPr="00000000" w:rsidDel="00000000">
        <w:rPr>
          <w:rtl w:val="0"/>
        </w:rPr>
        <w:t xml:space="preserve"> avoti Latvijā 2022. gadā bija pakalpojumu un mājsaimniecību sektors (61,4 %). Mājsaimniecības rada apmēram 59 % no kopējām emisijām, galvenais emisiju avots ir biomasas izmantošana apkurē.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Slikta gaisa kvalitāte negatīvi ietekmē dzīves kvalitāti, īpaši pilsētās. Gaisa piesārņojums ir galvenais priekšlaicīgas nāves un saslimšanu iemesls, un tas ir vienīgais lielākais vides izraisīts risks veselībai Eiropā. Aplēsts, ka daļiņu PM2,5 piesārņojums 2021. gadā Latvijā ir izraisījis 14 300 zaudētus dzīves gadus un 1 400 priekšlaicīgas nāves gadījumus, NO</w:t>
      </w:r>
      <w:r w:rsidR="00000000" w:rsidRPr="00000000" w:rsidDel="00000000">
        <w:rPr>
          <w:vertAlign w:val="subscript"/>
          <w:rtl w:val="0"/>
        </w:rPr>
        <w:t xml:space="preserve">2</w:t>
      </w:r>
      <w:r w:rsidR="00000000" w:rsidRPr="00000000" w:rsidDel="00000000">
        <w:rPr>
          <w:rtl w:val="0"/>
        </w:rPr>
        <w:t xml:space="preserve"> piesārņojums – 1 300 zaudētus dzīves gadus un 130 priekšlaicīgas nāves gadījumus, bet ozona piesārņojums – 750 zaudētus dzīves gadus un 70 nāves gadījumu.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atbilstošu gaisa kvalitāti un veicinātu esošo resursu efektīvu izmantošanu ir svarīgi veicināt un finansiāli atbalstīt esošo veco biomasu izmantojošo apkures katlu nomaiņu uz jaunākām tehnoloģijām, kas rada zemāku gaisa piesārņojumu vai to nerada vispār.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Aizvien vairāk Latvijas mājsaimniecību izrāda interesi par centrālapkures granulu kamīnu uzstādīšanu, meklējot efektīvus un videi draudzīgus risinājumus mazas platības mājokļu apsildīšanai. Pēdējā gada laikā pieaudzis pieprasījums pēc konsultācijām un tehniskajiem izvērtējumiem, kas apliecina, ka granulu kamīni (apkures sistēmas) kļūst par nopietnu alternatīvu tradicionālajiem biomasas jeb granulu katliem.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izteikt jaunā redakcijā noteikumus Nr. 150, papildus izdarot noteikumos Nr. 150 grozījumus, kas Vienotajā tiesību aktu projektu izstrādes un saskaņošanas portālā tika virzīti ar TA lietas Nr. 25-TA-3093. Ņemot vērā iepriekš minēto, turpmākā informācija attiecināma uz grozījumiem, kuri tiek izdarīti attiecībā pret spēkā esošo noteikumu Nr. 150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precizēts MK noteikumu projekta tiesiskais pamatojums (deleģējums), proti, 2025. gada 12. decembrī spēkā stājās Klimatnoturības un ekonomiskās ilgtspējas likums, kura 15. panta astotās daļas 2. punkts paredz, ka Ministru kabinets (turpmāk - MK) izdod projektu iesniegumu konkursu nolikumus, kuros nosaka projektu iesniegumu vērtēšanas kritērijus, komercdarbības atbalsta piešķiršanas nosacījumus, projektu iesniegumu iesniegšanas, izskatīšanas, apstiprināšanas un finansējuma piešķiršanas kārtību, projektu īstenošanas kārtību, pārskatu iesniegšanas un pārbaudes kārtību, kā arī neattiecināmo EKII līdzekļu atgūšanas nosacījumus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precizēts (noteikumu projekta 1. punkts) atbilstoši Klimatnoturības un ekonomiskās ilgtspējas likuma 15. panta astotās daļas 2. punktā noteiktajam deleģējumam MK;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papildināts ar jaunu punktu (noteikumu projekta 8. punkts), kas paskaidro termina "dzīvojamā māja" tvērumu, tajā ietverot gan standarta dzīvojamās ēkas, gan draudzes namus un būves, kurās dzīvo garīdzniecība. Definīcija tiek attiecināta arī uz dzīvokļiem vai mājas daļām, kam ir kopēja robeža ar blakus īpašumu un pilnībā autonomas inženiersistēmas; atbilstoši precizēts ar šo normu saistītais apakšpunkts (noteikumu projekta 9.1.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papildināts ar jaunu punktu (noteikumu projekta 11.1.6. apakšpunkts), paredzot, ka konkursa ietvar aktivitātes var īstenot ēkā ar būves klasifikācijas kodu 1272, bet ar nosacījumu, ka minētajā ēkā dzīvo garīdzniecība un ēkai būs norādīts nosaukums "Draudzes nams" vai "Dzīvojamā māja". Īstenojot konkursu ir identificēts, ka reliģisko organizāciju pārstāvji var pastāvīgi uzturēties (dzīvot) kulta ēkās, bet tās netiek reģistrētas kā dzīvojamās mājas. Ņemot vērā, ka projektu konkursa ietvaros viena no projekta iesniedzēju grupām ir reliģiskās organizācijas, tad ir nepieciešams pilnveidot nosacījumu attiecībā uz būvju kodiem, lai nodrošinātu konkursa aktivitāšu praktisku īstenošanu. Garīdzniecība ir cilvēku grupa, kas pieder pie baznīcas vai reliģiskās organizācijas un profesionāli pilda reliģiskos pienākumus. Garīdzniecībā parasti ietilpst, piemēram, priesteri, mācītāji, bīskapi;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svītrots punkts, kas saistīts ar dzīvojamās mājas definīciju, jo skaidrojums iestrādāts noteikumu projekta 8.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precizēti apakšpunkti (noteikumu projekta 11.4. un 11.5. apakšpunkts), paredzot, ka hibrīdsistēmu izmantošanas gadījumā ir jānodrošina nosacījumi par dzīvojamās mājas īpašumtiesībām un ierakstu zemesgrāmatā;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precizēts apakšpunkts (noteikumu projekta 11.7.3. apakšpunkts), veicot terminoloģijas precizējumu;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papildināts ar jaunu punktu (noteikumu projekta 16. punkts), kas paredz, ka informāciju par MK noteikumu projekta 11.2., 11.3., 11.4., 11.5. un 13.1. apakšpunktā minētajiem faktiem Vides investīciju fonds iegūst tiešsaistē no Valsts vienotās datorizētās zemesgrāmatas;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precizēts punkts (noteikumu projekta 18. punkts), paredzot pieļaujamās atbalsta intensitātes palielināšanu no 70% līdz 85%, ja projekta iesniegumu iesniedz persona, kas ir Latvijas Goda ģimenes apliecības turētājs. Nosacījums par paaugstinātu atbalsta intensitāti tiek piemērots visām konkursa ietvaros atbalstāmajām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svītrots punkts, jo nosacījums ir integrēts noteikumu projekta 18.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precizēts apakšpunkts (noteikumu projekta 19.1. apakšpunkts), konkursa ietvaros paredzot jaunu atbalstāmo aktivitāti, proti, mājsaimniecība atbalsta programmas ietvaros dzīvojamā mājā vai daudzdzīvokļu mājā varēs nomainīt esošu biomasas (malka, granulas) apkures katlu pret koksnes biomasas katlu, kas piemērots granulu kurināmajam, vai centrālapkures granulu kamīnu, saules kolektoru sistēmu vai siltumsūkni. No klimata politikas viedokļa raugoties atbalsts veco un neefektīvo biomasas apkures katlu nomaiņai pret jauniem, augstas efektivitātes biomasas katliem vai siltumsūkņiem ir pamatots, jo tas samazina enerģijas patēriņu un siltumnīcefekta gāzu emisijas, vienlaikus uzlabojot gaisa kvalitāti. Vecie biomasas katli bieži darbojas ar zemāku lietderības koeficientu un rada lielākas CO₂, cieto daļiņu un citas emisijas uz saražotās siltumenerģijas vienību. Savukārt moderni biomasas katli nodrošina efektīvāku kurināmā izmantošanu un zemākas emisijas, bet siltumsūkņi ļauj būtiski samazināt fosilo energoresursu patēriņu un, pieaugot atjaunīgās elektroenerģijas īpatsvaram energosistēmā, nodrošina arvien mazāku klimata ietekmi. Tādējādi šāds atbalsts veicina klimata mērķu sasniegšanu, energoefektivitātes uzlabošanu un ilgtspējīgu ēku siltumapgādes modernizāciju;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precizēts punkts un apakšpunkts (noteikumu projekta 19.1.1. apakšpunkts un 35. punkts), papildinot to ar jaunu konkursa ietvaros atbalstāmo aktivitāti, proti centrālapkures granulu kamīna iegādi. Centrālapkures granulu kamīns ir granulu kamīns, kas ne tikai silda telpu, kurā tas atrodas, bet arī ir pieslēgts dzīvojamās mājas vai daudzdzīvokļu mājas centrālapkures sistēmai un spēj sildīt ūdeni radiatoriem vai grīdas apkurei. Lai centrālapkures granulu kamīna iegāde tiktu atbalstīta, līdzīgi kā pie biomasas katla iegādes, ir nepieciešams, lai centrālapkures granulu kamīns atbilst Eiropas Komisijas 2015. gada 28. aprīļa Regulas (ES) 2015/1189, ar ko Eiropas Parlamenta un Padomes Direktīvu 2009/125/EK īsteno attiecībā uz ekodizaina prasībām cietā kurināmā katliem, prasībām, tajā skaitā pieļaujamām gaisu piesārņojošo vielu emisijām un Komisijas 2015. gada 27. aprīļa Deleģētajā regulā (ES) 2015/1187, ar ko Eiropas Parlamenta un Padomes Direktīvu 2010/30/ES papildina attiecībā uz cietā kurināmā katlu un cietā kurināmā katla, papildu sildītāju, temperatūras regulatoru un saules enerģijas iekārtu komplektu energomarķējumu, minētajai energoefektivitātes klasei, augstākai par A+ (ieskaitot).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siltumenerģijas lietderības koeficienta analīzi, kā arī izvērtējot SEG emisiju apjomu, secināts, ka centrālapkures granulu kamīni nodrošina līdzvērtīgu efektivitāti kā biomasas katli. To darbības princips, automatizācijas līmenis un degšanas procesa kontrole ļauj sasniegt augstu energoefektivitāti, vienlaikus saglabājot zemas emisijas un stabilu siltuma padevi. Granulu kamīni, kas paredzēti pieslēgšanai centrālapkures sistēmai, spēj nodrošināt pilnvērtīgu mājokļa apsildi, vienlaikus piedāvājot kompaktāku uzstādīšanas risinājumu un bieži vien arī zemākas sākotnējās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Koksnes biomasas katli parasti nodrošina līdzvērtīgu vai nedaudz augstāku efektivitāti nekā centrālapkures granulu kamīni ar A+ energoefektivitātes klasi, jo tie ir optimizēti darbam centrālapkures sistēmās un bieži tiek ieregulēti ilgstošai darbībai nominālajā jaudā. Savukārt, centrālapkures granulu kamīni A+ energoefektivitātes klasē var sasniegt ļoti augstu energoefektivitāti, no 80% līdz pat 95 % atsevišķos režīmos, kas nozīmē, ka liela daļa no granulu siltumenerģijas tiek efektīvi pārveidota apkures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precizēts apakšpunkts (noteikumu projekta 19.1.2. apakšpunkts), svītrojot noteikto maksimālo akumulācijas tvertnes tilpuma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precizēts apakšpunkts (noteikumu projekta 19.1.3. apakšpunkts), svītrojot noteikto maksimālo siltumsūkņu (gaiss, ūdens, zeme) ierīkošanai noteikto maksimālo kopējo uzstādīto jaudas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papildināts ar jaunu apakšpunktu (noteikumu projekta 19.3. apakšpunkts), kas paredz konkursa ietvaros jaunu atbalstāmo aktivitāti, kas ir saistīta ar dažādu tehnoloģiju kombinētu izmantošanu, tas ir īstenojot projektu nav obligāti nepieciešams demontēt esošo enerģiju ražojošu iekārtu, bet ir iespējams iegādāties jaunu atjaunīgos energoresursus izmantojošu iekārtu un nodrošināt tās vienlaicīgu izmantošanu ar esošo apkures katlu. Plašākā nozīmē termins "hibrīds" vai "hibrīda sildītājs" attiecas uz iekārtu vai iekārtu sistēmu, kas apvieno vismaz divus dažādus enerģijas avotus, lai nodrošinātu ēkas apkuri un/vai karstā ūdens apgādi, un kuras darbību pārvalda viena vadības sistēma. Tradicionāli vispazīstamākais hibrīda veids līdz šim ir bijis apkures katla un saules termisko kolektoru sistēmas apvienojums telpu un ūdens sildīšanai. Savukārt hibrīda siltumsūknis ir elektriskā siltumsūkņa, apkures katla un viedās vadības ierīces kombinācija, kas nodrošina telpu apsildi un parasti arī karstā ūdens sagatavošanu. Ekodizaina regulas par telpu un ūdens sildītājiem pārskatīšanas projektā tas ir atzīts par atsevišķu produktu kategoriju ar savu minimālo veiktspējas prasību kopumu un šādu definīciju: "hibrīdais sildītājs" ir vienota iekārta vai iekārtu kopums, kas konstruēti kā vienota sistēma, kas sastāv no elektriskā siltumsūkņa un apkures katla kā siltuma ģeneratoriem, kā arī no hibrīda sistēmu vadošas automātikas, kas nodrošina optimizētu siltuma ģeneratoru darbību telpu apsildei un, iespējams, ūdens sildīšanai". Hibrīdsistēmas vadības automātika ļauj izvēlēties vispiemērotāko darbības režīmu (tas ir siltuma pieprasījumu sedz siltumsūknis, katls vai abi paralēli) konkrētai ēkai un klimatam, lai prioritāti piešķirtu ekspluatācijas izmaksu un emisiju samazināšanai. Hibrīdsistēmu priekšrocības: tūlītēja un būtiska CO</w:t>
      </w:r>
      <w:r w:rsidR="00000000" w:rsidRPr="00000000" w:rsidDel="00000000">
        <w:rPr>
          <w:vertAlign w:val="subscript"/>
          <w:rtl w:val="0"/>
        </w:rPr>
        <w:t xml:space="preserve">2</w:t>
      </w:r>
      <w:r w:rsidR="00000000" w:rsidRPr="00000000" w:rsidDel="00000000">
        <w:rPr>
          <w:rtl w:val="0"/>
        </w:rPr>
        <w:t xml:space="preserve"> emisiju samazināšana papildinot esošu fosilo apkures sistēmu ar siltumsūkni, kas nosegs lielāko daļu no nepieciešamā apkures pieprasījuma; zemākas sākotnējās izmaksas (investīcijas) salīdzinājumā ar pilnīgu pāreju uz siltumsūkņu sistēmām un nepieciešamajiem ēkas un/vai apkures sistēmas uzlabojumiem (papildus siltināšana, lielāka izmēra radiatoru uzstādīšana vai silto grīdu ierīkošana); mazāka elektrotīkla slodze un pieslēguma jauda — samazināta slodzes nepieciešamība mazākas jaudas siltumsūkņa un papildus elektriskā sildītāja dēļ, kā arī iespēja pārslēgt enerģijas avotus maksimālās slodzes laikā; patērētāju pārliecība — ļauj māju īpašniekiem pierast pie siltumsūkņiem un to darbības principa, vienlaicīgi izmantojot apkures katla sniegto ierasto drošību; mazāk nepieciešamās vietas iekārtu uzstādīšanai — ja ir uzstādīts kombinētais katls, nav nepieciešama karstā ūdens tvertne. Mazāks un, attiecīgi, klusāks siltumsūkņa āra bloks.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precizēts apakšpunkts (noteikumu projekta 19.7. apakšpunkts), palielinot elektroenerģijas uzglabāšanas iekārtas (akumulatora) nominālo ietilpību no 5 kWh uz vismaz 10 kWh. Precizējums veikts ņemot vērā līdzšinējo pieredzi un tirgus attīstības dinamiku attiecībā uz šādu iekārtu pieejamību un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precizēts punkts (noteikumu projekta 31. punkts), precizējot tajā ietverto atsauci (iepriekš ietverts kļūdains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papildināts ar jaunu punktu (noteikumu projekta 34. punkts), kas paredz, ka konkursa ietvaros atbalsts netiek sniegts vietēju apkures ierīču (telpā iebūvēta krāsns, virtuves pavards, vannasistabas krāsns, kamīns, kur sadedzina kurināmo, lai apsildītu telpu, gatavotu ēdienu vai sildītu ūdeni) nomaiņai vai iegādei. Vietējā apkures ierīce ir telpā iebūvēta vai uzstādīta iekārta, kas paredzēta konkrētas telpas vai nelielas ēkas daļas apsildīšanai, sadedzinot kurināmo vai izmantojot citus energoresursus. Atšķirībā no centrālapkures, vietējā ierīce siltumu ražo tieši tajā vietā, kur tas tiek patērēts.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nosacījums ir pamatots ar to, ka konkursa mērķis ir panākt būtisku energoefektivitātes uzlabojumu un emisiju samazinājumu visā ēkā, ko visefektīvāk nodrošina centrālapkures sistēmas modernizācija. Vietējās apkures ierīces parasti apsilda tikai vienu telpu vai nelielu ēkas daļu, tādēļ to nomaiņa bieži nesniedz pietiekamu kopējo ietekmi uz ēkas siltumenerģijas patēriņu un nav salīdzināma ar centrālapkures risinājumu ieguvumiem. Papildus tam vietējo apkures ierīču faktiskais emisiju un enerģijas patēriņa efekts ir grūtāk prognozējams un kontrolējams, jo tas lielā mērā atkarīgs no lietotāja paradumiem, kurināmā kvalitātes un ekspluatācijas režīma. Līdz ar to šādu iekārtu atbalstīšana rada lielāku risku, ka netiks sasniegti programmas rezultāti, kā arī var veicināt apkures risinājumu dublēšanu, ja ierīce tiek izmantota tikai kā papildapkure;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precizēts apakšpunkts (noteikumu projekta 36.1. apakšpunkts), ņemot vērā jauno aktivitāti, kas noteikta ar noteikumu projekta 19.3. apakšpunktu). Attiecīgi noteikumu projekta 36.1. apakšpunktā minētais nosacījums ir piemērojams arī uz šo aktivitāti;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precizēti apakšpunkti (noteikumu projekta 41.2. un 41.4. apakšpunkts), saskaņojot atsauces uz konkursa ietvaros atbalstāmajām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precizēts apakšpunkts (noteikumu projekta 41.9. apakšpunkts), papildinot to normu par nepieciešamību sniegt ražotāja apliecinājumu par granulu kurināmajam piemērota centrālapkures granulu kamīna atbilstību ekodizaina prasībām attiecībā uz pieļaujamām emisijām un atbilstību noteiktajai energoefektivitātes klasei, papildus jau esošiem nosacījumiem attiecībā uz koksnes biomasas katlu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precizēts apakšpunkts (noteikumu projekta 69.4. apakšpunkts), papildinot to ar tiesību normu, kas paredz, ka pēc projekta līguma parakstīšanas daudzdzīvokļu mājas vai dzīvojamās mājas atsavināšanas gadījumā ziņas par jauno īpašnieku Vides investīciju fonds iegūst tiešsaistē no Valsts vienotās datorizētās zemesgrāmatas. Zemesgrāmatas nodalījumā esošie dati par īpašuma sastāvu un īpašnieku (Zemesgrāmatu likuma 15. un 16.pants) nepieciešami, lai Vides investīciju fonds varētu pārliecināties, ka atbalsta pieprasīšana un saņemšana tiek nodrošināta atbilstoši noteikumu projekta 11.2., 11.3., 11.4. un 11.5. apakšpunktam, 13.1. apakšpunktam, 69.4. un 69.6. apakšpunktam, kā arī 3. pielikuma 1.3., 1.4. un 1.9. punktam.</w:t>
      </w:r>
      <w:r w:rsidR="00000000" w:rsidRPr="00000000" w:rsidDel="00000000">
        <w:rPr>
          <w:b w:val="1"/>
          <w:rtl w:val="0"/>
        </w:rPr>
        <w:t xml:space="preserve"> </w:t>
      </w:r>
      <w:r w:rsidR="00000000" w:rsidRPr="00000000" w:rsidDel="00000000">
        <w:rPr>
          <w:rtl w:val="0"/>
        </w:rPr>
        <w:t xml:space="preserve">Vides investīciju fonds iegūs informāciju par nekustamā īpašuma ierakstīšanu zemesgrāmatā no Valsts vienotās datorizētās zemesgrāmatas reģistra tiešsaistē. Gadījumā, ja pārbaudes laikā konstatēts, ka nekustamais īpašums nav ierakstīts zemesgrāmatā, tad zemesgrāmatas pārbaude tiek veikta atkārtoti. Sagaidāms, ka katru gadu būs vairāk kā 2000 jauni atbalsta pieteikumi.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informācijas aplūkošana Valsts vienotās datorizētās zemesgrāmatas reģistrā saistīta ar datu apstrādi, Vides investīciju fonds šādu datu apstrādi veiks saskaņā ar Vispārīgās datu aizsardzības regulas 6. panta 1. punkta e) apakšpunktu, kas noteic, ka datu apstrāde ir tiesiska, ja apstrāde ir vajadzīga, lai izpildītu uzdevumu, ko veic sabiedrības interesēs vai īstenojot pārzinim likumīgi piešķirtās oficiālās pilnvaras. Vides investīciju fonds katrā konkrētā gadījumā izvērtē nepieciešamību iegūt informāciju no Valsts vienotās datorizētās zemesgrāmatas reģistra, un īsteno minētās darbības balstoties uz noteikumu projektā noteikto prasību izpildi. Apstrādājot no Valsts vienotās datorizētās zemesgrāmatas reģistra iegūtos datus, Vides investīciju fonds stingri ievēro Vispārīgās datu aizsardzības regulas 5. pantā noteiktos personu datu apstrādes principus. Līdz ar to Vides investīciju fonds nodrošina iegūto datu aizsardzību un rūpīgi izvērtē, vai informācija no Valsts vienotās datorizētās zemesgrāmatas reģistra ir nepieciešama šo datu apstrādes nolūkiem, tādējādi nodrošinot datu minimizēšanas principa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 panta astotajā daļā noteikts: "Valsts pārvaldi organizē pēc iespējas ērti un pieejami privātpersonai. Ja informācija, kura nepieciešama pārvaldes lēmuma pieņemšanai, kas regulē publiski tiesiskās attiecības ar privātpersonu, ir citas institūcijas rīcībā, iestāde to iegūst pati, nevis pieprasa no privātpersonas."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 Valsts vienotās datorizētās zemesgrāmatas reģistra datiem ne tikai atvieglo Vides investīciju fonda darbu, bet palīdz efektīvāk un ātrāk izvērtēt un objektīvi izskatīt iesniegtos projektu iesniegumus un veikt uzraudzības funkcijas par īstenotajiem projektiem. Ministrijas ieskatā, neatbilstu labas pārvaldības principam un valsts pārvaldes efektivizēšanas principam pieeja, kad Vides investīciju fonds par katru projekta iesniegumu un īstenoto projektu lūgtu sniegt informāciju iesniedzējiem vai izsūtītu nepieciešamo informāciju citām valsts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precizēts apakšpunkts (noteikumu projekta 69.5. apakšpunkts), mazinot administratīvo slogu un iedzīvotājiem iesniedzamo informācijas apjomu, paredzot, ka monitorings nav jāveic un ikgadējs monitoringa pārskats nav jāiesniedz, ja projekta ietvaros ir īstenots projekts attiecībā uz siltumenerģijas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precizēts punkts (noteikumu projekta 70. punkts), saskaņojot atsauces uz konkursa ietvaros atbalstāmajām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izteikts pielikums (noteikumu projekta 1. pielikums) strukturētā veidā, kā arī precizētas tabulas, nenorādot maksimālo atjaunīgo energoresursu iekārtu uzstādāmo nominālo jaudu;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izteikts pielikums (noteikumu projekta 2. pielikums) strukturētā veidā, kā arī precizēts 2.2. sadaļas 8. punkts (papildināta izvēles iespēja uz būvi ar klasifikācijas kodu 1272), papildināta 3.1. sadaļa ar jauno aktivitāti "centrālapkures granulu kamīns", precizēta 4. sadaļa ar atsauces punktiem, ņemot vērā veiktās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izteikts pielikums (noteikumu projekta 3. pielikums) strukturētā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demarkāciju ar Ministru kabineta 2023. gada 4. aprīļa noteikumiem Nr. 169 Eiropas Savienības kohēzijas politikas programmas 2021.–2027. 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īstenošanas noteikumi". Dubultās finansēšanas risku novēršana tiks nodrošināta projektu konkursu vai projektu līmenī, tai pārliecinoties, ka vienas un tās pašas atbalstāmās aktivitātes un attiecināmās izmaksas par vienām un tām pašām izmaksām netiks finansētas dubultā.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Pārejas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MK noteikumu projekta stāšanos spēkā spēku zaudēs noteikumi Nr. 150, kas līdz šim nosaka prasības un nosacījumus projektu iesniedzējiem attiecīgā konkursa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administratīvo slogu gan Vides investīciju fondam, gan projektu īstenotājiem, kuru iesniegtie projekti apstiprināti līdz MK noteikumu projekta spēkā stāšanās brīdim, projektiem, kas apstiprināti un par kuru īstenošanu ir noslēgts līgums ar Vides investīciju fondu saskaņā ar noteikumiem Nr. 150, līdz 2032. gada 31. decembrim piemēro noteikumos Nr. 150 noteiktās prasības un nosacījumus. Minētais nosacījums izriet no fakta, ka projektu iesniedzējiem nepieciešams nodrošināt noteiktu nosacījumu izpildi vēl piecus gadus pēc projekta īstenošanas (monitoringa periodā), savukārt, nenodrošinot šo prasību izpildi, Vides investīciju fonds ir tiesīgs atgūt neattiecināmos finanšu instrumenta līdzekļus atbilstoši konstatētajiem neatbilstībai. Šie nosacījumi ir ietverti arī līgumos par projektu īstenošanu, konkrēti atsaucoties uz noteikumos Nr. 150 ietvertajiem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projektu iesniedzējiem, kuru sagatavotie projektu iesniegumi uz MK noteikumu projekta spēkā stāšanās brīdi ir iesniegti, bet vēl nav izvērtēti, nav nepieciešams formāli iesniegt jaunus projektu iesniegumus, pārejas noteikumi paredz, ka Vides investīciju fonds projektiem, kas iesniegti līdz šo noteikumu spēkā stāšanās dienai, piemēro noteikumos Nr. 150 noteiktos nosacījumus, tostarp attiecībā uz projektu iesniegumu vērtēšanu, lēmumu pieņemšanu par projektu iesniegumu apstiprināšanu, projektu līgumu noslēgšanu, projektu īstenošanu, maksājumu kārtību un atbalsta saņēmēja pienākumiem un atbildību par projekta rezultātiem. Ja šāds nosacījums netiks piemērots, Vides investīciju fondam būtu formāli jānoraida visi līdz MK noteikumu projekta spēkā stāšanās brīdim iesniegtie un vēl neizvērtētie projektu iesniegumi un jālūdz projektu iesniedzējiem tos sagatavot atkārtoti. Minētais radītu papildus administratīvo slogu gan Vides investīciju fondam, gan fiziskām personām, kuras vēlas īstenot konkursa ietvaros atbalstāmās aktivitātes. Pēc MK noteikumu projekta spēkā stāšanās projektu iesniegumus iesniedz atbilstoši MK noteikumu projektā ietvertajiem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noteikumi paredz arī pārejas periodu attiecībā uz tiem projektu iesniedzējiem, kuri konkursa ietvaros atbalstāmās aktivitātes īstenojuši pirms MK noteikumu projekta spēkā stāšanās, atbilstoši noteikumos Nr. 150 noteiktajam izmaksu attiecināmības periodam, t.i., no 2022. gada 9.marta, bet vēl nav iesnieguši projekta iesniegumu Vides investīciju fondā. MK noteikumu projektā noteikts, ka par projekta aktivitātēm, kuras īstenotas pirms šo noteikumu spēkā stāšanās, un kuras atbilst noteikumos Nr. 150 noteiktajām atbalstāmajām aktivitātēm, attiecināmajām izmaksām, atbalsta intensitātei un izmaksu attiecināmības periodam, projekta iesniegumu iesniedz līdz 2026. gada 31. decembrim, un to vērtē un lēmumu par projekta iesnieguma apstiprināšanu pieņem atbilstoši noteikumos Nr. 150 noteiktajām prasībām un nosacījumiem. Šāds nosacījums nodrošinās, ka projektu iesniedzēji, kuri dažādu apsvērumu dēļ vēl nav iesnieguši projektu iesniegumus par līdz šim īstenotajām konkursa ietvaros atbalstāmajām aktivitātēm, netiek nepamatoti izslēgti no atbalsta saņemšanas tādēļ, ka noteikumi Nr. 150 tiek izteikti jaunā redakcijā. Iepriekš minētais periods nodrošinās iespēju iedzīvotājiem, kuri iepriekš minētajā periodā ir īstenojuši konkursa ietvaros atbalstāmās aktivitātes, sagatavot un iesniegt Vides investīciju fondā projektu iesniegumus, lai pretendētu uz atbalsta saņemšanu.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ietvaros palielināsies projekta iesniegumu iesniedzēju loks, kas varēs īstenot konkursa ietvaros atbalstāmās aktivitātes attiecībā uz atjaunīgo energoresursu iekārtu iegādi un pieslēgumu centralizētajai siltumapgādes sistēmai.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apstiprināšanas gadījumā palielināsies klientu loks uzņēmumiem, kas nodrošina atjaunīgo energoresursu iekārtu ražošanu, piegādi, uzstādīšanu un apkopi, kā arī sabiedriskajiem siltumapgādes pakalpojumu sniedzējiem, kas nodrošina centralizētās siltumapgādes pakalpojumu sniegšanu, tādējādi palielinot centralizētās siltumapgādes sistēmas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SIA "Vides investīciju fonds" palielināsies konkursa ietvaros iesniegto projektu iesniegumu vērtēšanas apjoms un pieņemto lēmuma skaits.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apstiprināšanas gadījumā palielināsies klientu loks uzņēmumiem, kas nodrošina atjaunīgo energoresursu iekārtu ražošanu, piegādi, uzstādīšanu un apkopi, kā arī sabiedriskajiem siltumapgādes pakalpojumu sniedzējiem, kas nodrošina centralizētās siltumapgādes pakalpojumu sniegšanu, tādējādi palielinot centralizētās siltumapgādes sistēmas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apstiprināšanas gadījumā tiks īstenoti projekti, kas ietekmēs uzņēmējdarbības vidi, proti, tirgū palielināsies pieprasījums pēc atjaunīgo energoresursu iekārtām, kā arī pēc centralizētās siltumapgādes sistēmas modernizācijas - siltummezgla projektēšanas un ierīkošanas.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apstiprināšanas gadījumā tiks īstenoti projekti, kas ietekmēs mazos un vidējos uzņēmumus, kas nodarbojas ar atjaunīgo energoresursu iekārtu ražošanu, piegādi, uzstādīšanu, apkopi un uzturēšanu un, kas nodarbojas ar centralizētās siltumapgādes sistēmas siltummezgla projektēšanu un pieslēguma ierīkošanu.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apstiprināšanas gadījumā tiks īstenoti projekti, kas veicinās konkurenci uzņēmumu starpā, kas nodarbojas ar atjaunīgo energoresursu iekārtu ražošanu, piegādi, uzstādīšanu, apkopi un uzturēšanu.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veicināta jaunu darba vietu veidošanās, kas saistītas ar atjaunīgo energoresursu iekārtu ražošanu, piegādi, uzstādīšanu un apkopi, kā arī centralizētās siltumapgādes sistēmas siltummezgla projektēšanu un ierīkošanu.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valsts budžetu izvērtēta, izstrādājot noteikumus Nr. 150 un tā līdzšinējos grozījumus. MK noteikumu projekta mērķis ir izteikt jaunā redakcijā noteikumus Nr. 150, papildus izdarot noteikumos Nr. 150 grozījumus, kas Vienotajā tiesību aktu projektu izstrādes un saskaņošanas portālā tika virzīti ar TA lietas Nr. 25-TA-3093. Ņemot vērā iepriekš minēto, kā arī to, ka papildus finansējums konkursa īstenošanai netiek piešķirts, MK noteikumu projektam nav ietekmes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pieejamais finansējums ir 85 000 000 </w:t>
      </w:r>
      <w:r w:rsidR="00000000" w:rsidRPr="00000000" w:rsidDel="00000000">
        <w:rPr>
          <w:i w:val="1"/>
          <w:rtl w:val="0"/>
        </w:rPr>
        <w:t xml:space="preserve">euro</w:t>
      </w:r>
      <w:r w:rsidR="00000000" w:rsidRPr="00000000" w:rsidDel="00000000">
        <w:rPr>
          <w:rtl w:val="0"/>
        </w:rPr>
        <w:t xml:space="preserve">. Finansējums ieplānots Klimata un enerģētikas ministrijas budžeta programmas 33.00.00. "Emisijas kvotu izsoļu ieņēmumu instrumenti" apakšprogrammā 33.02.00. "Emisijas kvotu izsolīšanas instrumenta projekti". Uz 2026. gada augustu konkursa ietvaros ir iesniegti 16723 projektu iesniegumi par kopējo pieprasīto EKII finansējumu 65 188 993,06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maksāšanas kārtība finansējuma saņēmējiem tiks noteikta projekta līguma vispārīgajos noteikumos. Finansējuma saņēmējam pieejamie maksājumi un maksāšanas kārtība ir noteikta MK noteikumu projekta IX. nodaļā un, salīdzinot ar līdzšinējo pieeju, netiek mainīta.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"Vides investīciju fonds"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https://tapportals.mk.gov.lv/public_participation/60c79955-ceae-47da-bb80-012897a600da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izteikt jaunā redakcijā noteikumus Nr. 150, papildus izdarot noteikumos Nr. 150 grozījumus, kas Vienotajā tiesību aktu projektu izstrādes un saskaņošanas portālā tika virzīti ar TA lietas Nr. 25-TA-3093.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 notika no 12.05.2026. līdz 26.05.2026.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tika saņemts viedoklis no: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biedrības "Zaļā brīvība"  (turpmāk - biedrība) ar iebildumu par publisko līdzekļu novirzīšana individuālo granulu katlu iegādei, jo ir bažas par gaisa kvalitātes pasliktināšanos pilsētās, augstā mežizstrādes intensitāte Latvijā un risks, ka nākotnē ZIZIMM sektora izaicinājumu dēļ meža biomasa var zaudēt atjaunīgā energoresursa statusu. Tā vietā publiskos līdzekļus aicina novirzīt tikai pilnīgai elektrifikācijai (siltumsūkņu iegādei). Biedrība aicina papildināt noteikumugrozījumu projektu ar jaunu mērķgrupu – enerģētiskās nabadzības riskam pakļautām mājsaimniecībām (atbilstoši EIKIS), nosakot tām 85% intensitāti un paaugstinātus griestus, negaidot Sociālā klimata fonda sākumu. Ierosina paaugstināt maksimālā atbalsta sliekšņus 1. pielikuma tabulās, jo pašreizējie zemie griesti neļauj daudzbērnu ģimenēm ("Goda ģimene"). Biedrība neatbalsta pieeju, ka valsts finansējumu var saņemt jauna AER risinājuma (siltumsūkņa) integrēšanai hibrīdsistēmā, ja tajā tiek saglabāta un joprojām izmantota esošā fosilā (piemēram, dabasgāzes) iekārta;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fiziskas personas, kura priekšlikumā norādīts, ka, papildinot mājsaimniecību ar jauniem risinājumiem (siltumsūkni vai elektromobili), rodas nepieciešamība pēc trīs fāžu pieslēguma. Ja atbalsts saules paneļu uzstādīšanai vienas fāzes sistēmā jau ir saņemts, pāreja uz jaudīgāku elektrotīkla infrastruktūru bez papildu valsts līdzfinansējuma ir finansiāli apgrūtinoša. Tādēļ tiek rosināts nodrošināt iespēju saņemt atbalsta starpību līdz maksimālajam trīs fāžu sistēmām noteiktajam slieksnim;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fiziskas personas priekšlikums paredz, ka, palielinot atbalsta intensitāti līdz 85 %, ir nepieciešams proporcionāli paaugstināt noteikumu 1. pielikumā minētos maksimālā atbalsta apmēra sliekšņus eiro izteiksmē. Pretējā gadījumā jaudīgāku un dārgāku sistēmu uzstādīšanas gadījumā piešķiramais finansējums sasniegs noteiktos griestus, tādējādi praksē neitralizējot paaugstinātās intensitātes sniegto ieguvumu. Vienlaikus tiek rosināts nodrošināt administratīvi vienkāršotu pieteikšanās procesu kompleksiem projektiem, kuros mājsaimniecības izvēlas apvienot siltumapgādes nomaiņu (granulu katla iegādi) ar mikroģenerāciju (saules paneļu uzstādīšanu), garantējot, ka paaugstinātā 85 % atbalsta intensitāte tiek attiecināta uz abām projekta komponentēm.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nodrošināta, publicējot noteikumu projektu Vienotajā tiesību aktu projektu izstrādes un saskaņošanas portālā, nodrošinot iespēju sabiedrībai sniegt par to viedokli.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Uzdevumus, kas saistīti ar projektu iesniegumu pieņemšanu, vērtēšanu, apstiprināšanu un finanšu instrumenta finansējuma piešķiršanu, kā arī par līgumu par projekta īstenošanu  sagatavošanu, noslēgšanu, grozīšanu un laušanu, projektu pārskatu pārbaudi un projektu īstenošanas kontroli, turpinās veikt SIA "Vides investīciju fonds".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MK noteikumu projektā plānotās aktivitātes tiks veicināta Nacionālajā attīstības plānā 2021.-2027.gadam šādu progresa indikatoru sasniegšana: [271] Siltumnīcefekta gāzu (SEG) emisiju intensitāte, [273] Gaisa piesārņojuma % samazinājums (izņemot, sniedzot atbalstu biomasas dedzināšanai) un [309] No atjaunojamiem energoresursiem (AER) saražotās enerģijas īpatsvars kopējā enerģijas galapatēriņā.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apstiprināšanas gadījumā tiks nodrošināta tādu projektu īstenošana, kas veicina atjaunīgo energoresursu iekārtu izmantošanu un pieslēgšanos centralizētajai siltumapgādes sistēmai, tādejādi nepasliktinot gaisa kvalitāti, it īpaši pilsētās, un negatīvi neietekmējot sabiedrības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atbalstīta neefektīvu biomasas apkures katlu iegāde un uzstādīšana, kā arī konkursa ietvaros ir atbalstāma biomasas iekārtu iegāde vienlaikus ar citu atjaunīgo energoresursu iekārtu iegādi.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apstiprināšanas gadījumā tiks īstenoti projekti, kas nodrošinās daudz plašāku atjaunīgo energoresursu iekārtu izmantošanu mājsaimniecībās vai mājsaimniecību pieslēgšanos centralizētajai siltumapgādes sistēmai, tādējādi samazinot radītās siltumnīcefekta gāzu emisijas.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atbilstošu gaisa kvalitāti un veicinātu esošo resursu efektīvu izmantošanu, ir svarīgi veicināt un finansiāli atbalstīt esošo veco biomasu izmantojošo apkures katlu nomaiņu uz jaunākām tehnoloģijām, kas rada zemāku gaisa piesārņojumu vai to nerada vispār. Kā norādīts noteikumu projekta anotācijā, gaisa piesārņojums ir galvenais priekšlaicīgas nāves un saslimšanu iemesls, un tas ir vienīgais lielākais vides izraisīts risks veselībai Eiropā, tādējādi MK noteikumu projektā piedāvātais risinājums var sniegt pozitīvu ietekmi uz sabiedrības dzīves kvalitāti un veselību.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personas datu apstrādes pārzinis ir Vides investīciju fonds, un tiesiskā regulējuma ietvars, kas nosaka Latvijas Goda ģimenes apliecības, kas izdotas saskaņā ar Ministru kabineta 2024. gada 10. septembra noteikumiem Nr. 598 "Latvijas Goda ģimenes apliecības programmas īstenošanas kārtība", turētāju personas datu apstrādes pamatnolūkus, tiesisko pamatu, glabāšanas termiņus, datu subjekta tiesības un citus attiecināmos nosacījumus, ir nostiprināts Vides investīciju fonda iekšējos noteikumos par datu privātuma politiku. Minētā privātuma politika ir publiski pieejama ikvienai ieinteresētajai personai un tiek mērķtiecīgi izstrādāta atsevišķi katram konkrētajam datu apstrādes nolūkam.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 Latvijas Goda ģimenes apliecības pārbaudes nolūkā tiks veikta pamatojoties uz Eiropas Parlamenta un Padomes 2016. gada 27. aprīļa regulas (ES) 2016/679 par fizisku personu aizsardzību attiecībā uz personas datu apstrādi un šādu datu brīvu apriti un ar ko atceļ direktīvu 95/46/EK (Vispārīgā datu aizsardzības regula) (turpmāk - Regula) 6. panta 1. punkta a), b) un c) apakšpunkta, tas ir, datu subjekta piekrišanu, ka tās personas datu (vārds, uzvārds, personas kods, nekustamā īpašuma adrese un tā kadastra numurs, e-pasta, tālruņa numurs) apstrāde nepieciešama pakalpojuma sniegšanai konkursa ietvaros. Atteikties no pakalpojuma un dzēst personas datus datu subjekts var sūtot pieprasījumu uz e-pasta adresi das@lvif.gov.lv. Piekrišanas atsaukums neietekmē personas datu apstrādes likumību, kas pamatojas uz piekrišanu pirms atsaukuma.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apstrādes nolūks konkursa ietvaros ir nodrošināt iespēju personām, kurām piešķirta Latvijas Goda ģimenes apliecība, saņemt tai tiesiski paredzēto atbalstu. Lai to īstenotu, Vides investīciju fonda kā konkursa pārvaldes uzdevumu izpildītāja veiktās fizisko personu datu apstrādes mērķis ir pieteikuma iesniedzēja statusa tiesiskā un faktiskā pārbaude, pārliecinoties par tā atbilstību Latvijas Goda ģimenes apliecības kartes turētāja statusam pieteikuma vērtēšanas un lēmuma pieņemšanas brīdī. Šī apstrāde ir tieši vērsta uz to, lai nodrošinātu MK noteikumu projekta 18.2. un 18.5. apakšpunktā paredzētā tiesiskā mehānisma izpildi, proti, garantētu lielāku atbalsta intensitāti jeb palielināta valsts finansiālā atbalsta apmēra tiesisku, precīzu un pamatotu piemērošanu kvalificētajām mājsaimniecībām konkursa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subjekta personas dati tiks glabāti piecus gadus pēc projekta iesnieguma saņemšanas, lai izpildītu normatīvo aktu prasības vai pārziņa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subjektam ir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pārzinim piekļuvi datu subjekta personas datiem un veikt to labošanu vai dzēšanu, vai pieprasīt apstrādes ierobežošanu attiecībā uz datu subjektu, kā arī tiesības iebilst pret datu apstrādi;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sazināties ar pārzini par fiziskas personas datu apstrādi, nosūtot iesniegumu uz e-pasta adresi das@lvif.gov.lv;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sazināties ar pārziņa datu aizsardzības speciālistu nosūtot jautājumu(-s) uz e-pastu: das@lvif.gov.lv;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iesniegt sūdzību Datu valsts inspekcijai (tālr. 67223131, pasts@dvi.gov.lv, Elijas iela 17, Rīga, LV-1050) par fiziskas personas datu apstrādes pārkāpumu.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26-TA-2060</w:t>
    </w:r>
    <w:r>
      <w:br/>
    </w:r>
    <w:r w:rsidR="00000000" w:rsidRPr="00000000" w:rsidDel="00000000">
      <w:rPr>
        <w:rtl w:val="0"/>
      </w:rPr>
      <w:t xml:space="preserve">Izdrukāts 01.09.2026. 09.54 - 2.0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26-TA-2060</w:t>
    </w:r>
    <w:r>
      <w:br/>
    </w:r>
    <w:r w:rsidR="00000000" w:rsidRPr="00000000" w:rsidDel="00000000">
      <w:rPr>
        <w:rtl w:val="0"/>
      </w:rPr>
      <w:t xml:space="preserve">Izdrukāts 01.09.2026. 09.54 - 2.0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anotācija_(ex_ante)_26-TA-2060.docx</dc:title>
</cp:coreProperties>
</file>

<file path=docProps/custom.xml><?xml version="1.0" encoding="utf-8"?>
<Properties xmlns="http://schemas.openxmlformats.org/officeDocument/2006/custom-properties" xmlns:vt="http://schemas.openxmlformats.org/officeDocument/2006/docPropsVTypes"/>
</file>