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 kārta)"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 kārta)” pases  apstiprināšanu” (turpmāk –projekts) izstrādāts saskaņā ar 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5. punkta prasībām, kas nosaka, ka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tiek atbalstīti Ministru kabineta rīkojumos par projekta īstenošanu paredzētie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no Eiropas Reģionālās attīstības fonda (turpmāk - ERAF) piešķirto līdzekļu apjomu un pamatot šo līdzekļu izmantošanas lietderību, kas ir aprakstīta projekta pasē.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muitas datu apstrādes sistēma (turpmāk – EMDAS) ir Latvijas nacionālā muitas informācijas sistēma, ko Valsts ieņēmumu dienests izmanto elektroniskai muitas deklarāciju un citu ar muitošanu saistītu muitas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9. oktobra Regula (ES) Nr. 952/2013, ar ko izveido Savienības Muitas kodeksu noteic, ka visa informācijas apmaiņa starp muitas dienestiem un starp uzņēmējiem un muitas dienestiem, kā arī šādas informācijas glabāšana, tiek veikta, izmantojot elektroniskas datu apstrādes metodes, un informācijas un saziņas sistēmām jāpiedāvā vienādas iespējas uzņēmējiem visās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Pilnveidojot EMDAS, tika konstatētas sistēmas lēndarbības un veiktspējas problēmas. Problēmu izpētei tika pieaicināti neatkarīgie auditori, un tika rekomendēts neturpināt attīstīt EMDAS esošā, novecojušā risinājuma ietvaros. No 2020. gada līdz 2025. gadam, EMDAS attīstīta jaunā arhitektūrā un sistēmas prasības nodrošinātas, izmantojot Kubernetes klasteri, kas apkalpo mikroservisus, kuri darbojas neatkarīgos konteineros.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laikā jaunajā arhitektūrā izstrādātas vairākas apjomīgas EMDAS apakšsistēmas, nodrošinot muitošanas procesu atbilstību Eiropas Savienības normatīvo aktu prasībām, t.i., Automatizētā importa sistēma, Automatizētā eksporta sistēma, Tranzīta kontroles sistēma, Importa kontroles sistēma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EMDAS attīstību, lai nodrošinātu augstu sistēmas veiktspēju, ātrdarbību un pieejamību, jaunajā arhitektūrā jāizstrādā Elektroniskais transporta dokuments (tranzīta vienkāršojums), Pagaidu uzglabāšanas un preču uzskaites sistēma, Uzņēmēju reģistrācijas un identifikācijas sistēma, kas nodrošina datu apmaiņu ar Eiropas Komisijas EORI (</w:t>
      </w:r>
      <w:r w:rsidR="00000000" w:rsidRPr="00000000" w:rsidDel="00000000">
        <w:rPr>
          <w:i w:val="1"/>
          <w:rtl w:val="0"/>
        </w:rPr>
        <w:t xml:space="preserve">Economic Operators Registration and Identification number</w:t>
      </w:r>
      <w:r w:rsidR="00000000" w:rsidRPr="00000000" w:rsidDel="00000000">
        <w:rPr>
          <w:rtl w:val="0"/>
        </w:rPr>
        <w:t xml:space="preserve">) sistēmu, kā arī Muitas kontroles bloks, kas ietver muitas kontroles dokumentu, risku informācijas aprites, un atļauju uzraudzības, un kontroles funkcionalitātes.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tālāku elektroniskās muitas vides attīstību, lai nodrošinātu Eiropas Parlamenta un Padomes 2013. gada 9. oktobra Regulā (ES) Nr. 952/2013, ar ko izveido Savienības Muitas kodeksu noteiktā izpildi,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ieviest integrācijas risinājumu ar Eiropas Savienības muitas vienloga dokumentu apmaiņas sistēmu (EU CSW-CERTEX) vienloga vides izveidei muitas jomā, nodrošinot tās ikgadēju paplašināšanu ar jauniem laidieniem un dokumentu veidiem saskaņā ar Eiropas Parlamenta un Padomes 2022. gada 23. novembra Regulu (es) Nr. 2022/2399 (), ar ko izveido Eiropas Savienības vienloga vidi muitas jomā un groza Regulu (ES) Nr. 952/2013;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ieviest risinājumus un jauninājumus atbilstoši Eiropas Savienības normatīvo aktu prasībām ārējās tirdzniecības vides uzlabošanai, nodrošināt integrācijas iespējas risinājumiem ar uzņēmēju informācijas sistēmām (API), kā arī datu atkārtotas izmantošanas iespējas, tādejādi paātrinot un vienkāršojot muitas formalitāšu kārtošanu;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uzlabot ar lietošanas ērtumu un procesu automatizāciju saistītos risinājumus, kā arī ieviest elektroniskos risinājumus muitas kontroles procesu pilnveidošanai, tādējādi paaugstinot muitas pakalpojumu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turpināt EMDAS attīstību, lai nodrošinātu augstu sistēmas veiktspēju un darbības nepārtrauktību, kā arī tiks veiktas nepieciešamās izmaiņas un uzlabojumi ar EMDAS saistītajās informācijas sistēmās - Integrētajā tarifu vadības sistēmā (ITVS) un Datu noliktavas sistēmā (DNS), nodrošinot sistēmu savietojamību, drošību un efektīvu muitošanas procesu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paredzētie informācijas un komunikācijas tehnoloģijas risinājumi ir tieši saistīti ar Valsts ieņēmumu dienesta likumā (3.pants) noteiktajām funkcijām un valsts pārvaldes uzdevumu – muitas procedūru administrēšanas, uzraudzības un kontroles – izpildi, saskaņā ar Savienības Muitas kodeksu, Muitas likumu un citiem saistošajiem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informācijas sistēmu attīstībā tiek nodrošinātas vienlīdzīgas iespējas visiem komersantiem iesniegt muitas datus, neatkarīgi no to tehnoloģiskajām iespējām un uzņēmuma lieluma. Komersantiem tiks nodrošinātas šādas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programmiskā saskarne (API) – automatizētai datu iesniegšanai lielākiem un tehnoloģiski attīstītiem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 lietotāja saskarne – tīmekļa risinājums manuālai datu ievadei uzņēmumiem, kuri neizmanto integrētus IT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veicina konkurences neitralitāti un nodrošina taisnīgu piekļuvi muitas pakalpojumiem, nodrošina vienādas datu prasības un validācijas noteikumus, vienādus pakalpojuma pieejamības un drošības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netiek plānots pilnveidot koplietošanas pakalpojumus, kā arī publicēt muitas nozarei būtiskas datu kopas, ņemot vērā, ka tās satur sensitīvus datus, tostarp personas datus, komercnoslēpumu un drošības informāciju, tādēļ to apstrāde tiek nodrošināta, ievērojot normatīvajos aktos noteiktās datu aizsardzības un informācijas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ietvaros plānotas turpmākas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Vienloga sistēmas attīstība un integrācija ar ārējām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Integrācija ar Eiropas Savienības muitas vienloga dokumentu apmaiņas sistēmu (EU CSW-CERTEX);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API (lietojumprogrammas saskarnes) izstrāde datu iesūtīšanai no uzņēmēju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Datu pārņemšana no AIS (Automatizētā importa sistēma), IKS2 (Importa kontroles sistēma), TKS2 (Tranzīta kontroles sistēma), AES (Automatizētā eksporta sistēma) atkārtotai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Integrācija ar citām ārējām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Sistēmu pilnveidošana atbilstoši Eiropas Savienības un Latvijas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Automatizētās importa sistēmas (AIS)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Automatizētās eksporta sistēmas (AES)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Tranzīta kontroles sistēmas (TKS2)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Importa kontroles sistēmas 2 (IKS2)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Integrētā tarifa vadības sistēmas (ITVS)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Elektroniskā transporta dokumenta (ETD), Pagaidu uzglabāšanas un preču uzskaites sistēmas izstrāde EMDAS jaunajā arhitektūrā: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Elektroniskā transporta dokumenta (ETD)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Pagaidu uzglabāšanas un preču uzskaites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Datu nodošanas izstrāde uz Datu noliktavas sistēmu (DNS).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Muitas kontroles bloka izstrāde EMDAS jaunajā arhitektūrā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Muitas kontroles dokumentu apstrādes funkcionalitātes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Muitas risku informācijas aprites funkcionalitātes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Muitas atļauju uzraudzības un kontroles funkcionalitātes izstrāde.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Uzņēmēju reģistrācijas un identifikācijas sistēmas (EORI) izstrāde EMDAS jaunajā arhitektūrā: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Uzņēmēju reģistrācijas un identifikācijas sistēmas (EORI) izstrāde, nodrošinot datu apmaiņu ar EK EORI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EORI numura elektroniskās pieteikšanās veidlapas izstrāde.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projekta "E-muita (3.kārta)" sociālekonomisko ieguvumu analīzi un aprēķinu, sociāli ekonomiskie ieguvumi uzņēmējiem, sākot ar 2030.gadu, tiek prognozēti 1 875 484 </w:t>
      </w:r>
      <w:r w:rsidR="00000000" w:rsidRPr="00000000" w:rsidDel="00000000">
        <w:rPr>
          <w:i w:val="1"/>
          <w:rtl w:val="0"/>
        </w:rPr>
        <w:t xml:space="preserve">euro</w:t>
      </w:r>
      <w:r w:rsidR="00000000" w:rsidRPr="00000000" w:rsidDel="00000000">
        <w:rPr>
          <w:rtl w:val="0"/>
        </w:rPr>
        <w:t xml:space="preserve"> gadā. Savukārt, nediskontētā ieguvumu summa projekta dzīves cikla laikā (15 gadi) kopā sastāda 24 381 293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projekta ietvaros veic valsts pārvaldes funkciju, un līdz ar to projekta finansējums netiks sniegts saimnieciskās darbības veikšanai un attiecīgi nav jāpiemēro komercdarbības atbalsta regulējums.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fiziska persona, kas iesaistīta muitas formalitāšu kārtošanā Latvijā un citās Eiropas Savienības dalībvalstīs.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fiziska persona, kas iesaistīta muitas formalitāšu kārtošanā Latvijā un citās Eiropas Savienības dalībvalstīs.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sistēmu attīstība rada daudzdimensionālu pozitīvu ietekmi uz Latvijas makroekonomisko vidi. Tā vienlaikus stiprina tirdzniecības efektivitāti, palielina valsts budžeta ieņēmumus, uzlabo uzņēmējdarbības vidi un veicina inovācijas un digitalizāciju. Ilgtermiņā modernizēta muitas infrastruktūra ir viens no balstiem ekonomikas konkurētspējas pieaugumam un ilgtspējīgai izaugsmei.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sistēmu attīstība veicina uzņēmējdarbības vides uzlabošanu, piemēram, API integrācija uzņēmumu sistēmās, ļaus deklarēt preces automātiski, bez manuālas datu ievades. Tas nozīmē mazāku administratīvo slogu un zemākas darbaspēka izmaksas. Uzņēmumiem tas rada laika ietaupījumu, samazinātas kļūdas deklarācijās un optimizē loģistikas procesus.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Uzņēmējdarbības vides uzlabošana, modernizējot muitas sistēmas, veicina mazo un vidējo uzņēmumu iesaisti starptautiskajā tirdzniecībā.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sistēmu modernizācija un attīstība nodrošina Latvijas pilnvērtīgu integrāciju Eiropas Savienības vienotajā muitas telpā. Tiek īstenoti kopīgi tehniskie standarti, datu formāti un riska vadības principi. Tas veicina vienotu tirgus vidi Eiropas Savienības ietvaros, savstarpēju datu apmaiņu starp dalībvalstīm un konkurētspējas pieaugumu Baltijas un Eiropas mērogā.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2 572 489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3 949 475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2 399 013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429 023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2 572 489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3 949 475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2 399 013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429 023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3 026 458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4 646 441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2 822 368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504 733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3 026 458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4 646 441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2 822 368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504 733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-453 969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-696 966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-423 355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-75 710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-453 969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-696 966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-423 355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-75 710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-453 969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-696 966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-423 355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-75 710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-453 969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-696 966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-42 355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-75 710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tiks līdzfinansēts no Eiropas Reģionālās attīstības fonda (turpmāk - ERAF) līdzekļiem un tā kopējais finansējuma apjoms (kopējās attiecināmās izmaksas) plānotas 11 000 000 </w:t>
            </w:r>
            <w:r w:rsidR="00000000" w:rsidRPr="00000000" w:rsidDel="00000000">
              <w:rPr>
                <w:sz w:val="24"/>
                <w:i w:val="1"/>
                <w:rtl w:val="0"/>
              </w:rPr>
              <w:t xml:space="preserve">euro</w:t>
            </w:r>
            <w:r w:rsidR="00000000" w:rsidRPr="00000000" w:rsidDel="00000000">
              <w:rPr>
                <w:sz w:val="24"/>
                <w:rtl w:val="0"/>
              </w:rPr>
              <w:t xml:space="preserve"> apmērā, tai skaitā ERAF finansējums 9 350 000 </w:t>
            </w:r>
            <w:r w:rsidR="00000000" w:rsidRPr="00000000" w:rsidDel="00000000">
              <w:rPr>
                <w:sz w:val="24"/>
                <w:i w:val="1"/>
                <w:rtl w:val="0"/>
              </w:rPr>
              <w:t xml:space="preserve">euro</w:t>
            </w:r>
            <w:r w:rsidR="00000000" w:rsidRPr="00000000" w:rsidDel="00000000">
              <w:rPr>
                <w:sz w:val="24"/>
                <w:rtl w:val="0"/>
              </w:rPr>
              <w:t xml:space="preserve"> un valsts budžeta finansējums 1 650 000 </w:t>
            </w:r>
            <w:r w:rsidR="00000000" w:rsidRPr="00000000" w:rsidDel="00000000">
              <w:rPr>
                <w:sz w:val="24"/>
                <w:i w:val="1"/>
                <w:rtl w:val="0"/>
              </w:rPr>
              <w:t xml:space="preserve">euro</w:t>
            </w:r>
            <w:r w:rsidR="00000000" w:rsidRPr="00000000" w:rsidDel="00000000">
              <w:rPr>
                <w:sz w:val="24"/>
                <w:rtl w:val="0"/>
              </w:rPr>
              <w:t xml:space="preserve">. No tiem 2026.gadā – 3 026 458 </w:t>
            </w:r>
            <w:r w:rsidR="00000000" w:rsidRPr="00000000" w:rsidDel="00000000">
              <w:rPr>
                <w:sz w:val="24"/>
                <w:i w:val="1"/>
                <w:rtl w:val="0"/>
              </w:rPr>
              <w:t xml:space="preserve">euro</w:t>
            </w:r>
            <w:r w:rsidR="00000000" w:rsidRPr="00000000" w:rsidDel="00000000">
              <w:rPr>
                <w:sz w:val="24"/>
                <w:rtl w:val="0"/>
              </w:rPr>
              <w:t xml:space="preserve">, 2027.gadā – 4 646 441 </w:t>
            </w:r>
            <w:r w:rsidR="00000000" w:rsidRPr="00000000" w:rsidDel="00000000">
              <w:rPr>
                <w:sz w:val="24"/>
                <w:i w:val="1"/>
                <w:rtl w:val="0"/>
              </w:rPr>
              <w:t xml:space="preserve">euro</w:t>
            </w:r>
            <w:r w:rsidR="00000000" w:rsidRPr="00000000" w:rsidDel="00000000">
              <w:rPr>
                <w:sz w:val="24"/>
                <w:rtl w:val="0"/>
              </w:rPr>
              <w:t xml:space="preserve">, 2028.gadā – 2 822 368 </w:t>
            </w:r>
            <w:r w:rsidR="00000000" w:rsidRPr="00000000" w:rsidDel="00000000">
              <w:rPr>
                <w:sz w:val="24"/>
                <w:i w:val="1"/>
                <w:rtl w:val="0"/>
              </w:rPr>
              <w:t xml:space="preserve">euro</w:t>
            </w:r>
            <w:r w:rsidR="00000000" w:rsidRPr="00000000" w:rsidDel="00000000">
              <w:rPr>
                <w:sz w:val="24"/>
                <w:rtl w:val="0"/>
              </w:rPr>
              <w:t xml:space="preserve"> un 2029.gadā – 504 733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indikatīvās izmaksas: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19"/>
              <w:gridCol w:w="5407"/>
              <w:gridCol w:w="1972"/>
              <w:tblGridChange w:id="0">
                <w:tblGrid>
                  <w:gridCol w:w="419"/>
                  <w:gridCol w:w="5407"/>
                  <w:gridCol w:w="197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Summa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vadības un īstenošanas personāla administratīvās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124 853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vadības personāla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143 396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īstenošanas personāla atlīdzības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688 958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sistēmas programmatūras izstrāde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7 029 905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sistēmas programmatūras dokumentācijas izstrāde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3 012 838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Komunikācijas un vizuālās identitātes prasību nodrošināšanas pasākumu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euro</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ilgtspējīgu projekta rezultātā izstrādāto IKT risinājumu darbību, pēc projekta termiņa beigām ir plānojamas IKT risinājumu uzturēšanas izmaksas. Sistēmu uzturēšanas izmaksās ietilpst: sistēmu atjauninājumi, drošības pasākumi un labojumi, programmatūras papildinājumi, tai skaitā ES un Latvijas normatīvo aktu izmaiņu ieviešanas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Iepriekšējos ERAF līdzfinansētajos projektos  “E-muita (1.kārta)” (projekta Nr. 2.2.1.1/17/I/003) un “Eksporta un e-komercijas procesi e-muitā” (projekts Nr. 2.2.1.1/21/I/004) izstrādāto risinājumu uzturēšanai pašlaik tiek izmantots papildu pieprasītais un piešķirtais finansējums, attiecīgi 213 904 </w:t>
            </w:r>
            <w:r w:rsidR="00000000" w:rsidRPr="00000000" w:rsidDel="00000000">
              <w:rPr>
                <w:sz w:val="24"/>
                <w:i w:val="1"/>
                <w:rtl w:val="0"/>
              </w:rPr>
              <w:t xml:space="preserve">euro </w:t>
            </w:r>
            <w:r w:rsidR="00000000" w:rsidRPr="00000000" w:rsidDel="00000000">
              <w:rPr>
                <w:sz w:val="24"/>
                <w:rtl w:val="0"/>
              </w:rPr>
              <w:t xml:space="preserve">un 310 000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Šajā projektā izstrādāto IKT risinājumu uzturēšanas izmaksas sākot ar 2030.gadu plānotas 550 000 </w:t>
            </w:r>
            <w:r w:rsidR="00000000" w:rsidRPr="00000000" w:rsidDel="00000000">
              <w:rPr>
                <w:sz w:val="24"/>
                <w:i w:val="1"/>
                <w:rtl w:val="0"/>
              </w:rPr>
              <w:t xml:space="preserve">euro</w:t>
            </w:r>
            <w:r w:rsidR="00000000" w:rsidRPr="00000000" w:rsidDel="00000000">
              <w:rPr>
                <w:sz w:val="24"/>
                <w:rtl w:val="0"/>
              </w:rPr>
              <w:t xml:space="preserve"> gadā (5% no projekta apjoma 11 000 000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IKT risinājumu uzturēšanas izmaksu aprēķins: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81"/>
              <w:gridCol w:w="1987"/>
              <w:gridCol w:w="1875"/>
              <w:gridCol w:w="1706"/>
              <w:tblGridChange w:id="0">
                <w:tblGrid>
                  <w:gridCol w:w="2081"/>
                  <w:gridCol w:w="1987"/>
                  <w:gridCol w:w="1875"/>
                  <w:gridCol w:w="17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Cilvēkdienu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cilvēkdienas cena </w:t>
                  </w:r>
                  <w:r w:rsidR="00000000" w:rsidRPr="00000000" w:rsidDel="00000000">
                    <w:rPr>
                      <w:sz w:val="24"/>
                      <w:i w:val="1"/>
                      <w:rtl w:val="0"/>
                    </w:rPr>
                    <w:t xml:space="preserve">euro</w:t>
                  </w:r>
                  <w:r w:rsidR="00000000" w:rsidRPr="00000000" w:rsidDel="00000000">
                    <w:rPr>
                      <w:sz w:val="24"/>
                      <w:rtl w:val="0"/>
                    </w:rPr>
                    <w:t xml:space="preserve">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EMDAS izstrādāto funkcionalitāšu uzturēšana (80%)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Saistīto un pielāgoto informācijas sistēmu uzturēšana (20%)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*vidējā prognozētā viena cilvēkdienas 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Uzturēšanai nepieciešamo cilvēkdienu skaits un cilvēkdienas izmaksas tiek prognozētas, pamatojoties uz cenām šobrīd spēkā esošajos līgumos par ITVS un DNS pilnveidošanu un uzturēšanu, kas vidēji ir 617 </w:t>
            </w:r>
            <w:r w:rsidR="00000000" w:rsidRPr="00000000" w:rsidDel="00000000">
              <w:rPr>
                <w:sz w:val="24"/>
                <w:i w:val="1"/>
                <w:rtl w:val="0"/>
              </w:rPr>
              <w:t xml:space="preserve">euro</w:t>
            </w:r>
            <w:r w:rsidR="00000000" w:rsidRPr="00000000" w:rsidDel="00000000">
              <w:rPr>
                <w:sz w:val="24"/>
                <w:rtl w:val="0"/>
              </w:rPr>
              <w:t xml:space="preserve"> apmērā par cilvēkdienu, kā arī līdzvērtīgu prognozēto EMDAS jauno līgumcenu sākot ar 2030. gadu, papildus paredzot cilvēkdienas izmaksu kāpumu ~10% gadā (atbilstošu IT cilvēkresursu trūkums, IT industrijas noslodze un IT nozarē vērojamo vidējo personāla atlīdzības pieauguma tendenci).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nepieciešamie valsts budžeta līdzekļi normatīvajos aktos noteiktajā kārtībā tiks pieprasīti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rezultātu uzturēšanai papildus nepieciešamais finansējums tiks pieprasīts normatīvajos aktos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02022R2399-20241017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23. novembra Regula (es) Nr. 2022/2399, ar ko izveido Eiropas Savienības vienloga vidi muitas jomā un groza Regulu (ES) Nr. 952/2013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32013R0952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9. oktobra Regula (ES) Nr. 952/2013, ar ko izveido Savienības Muitas kodeksu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23. novembra Regula (es) Nr. 2022/2399, ar ko izveido Eiropas Savienības vienloga vidi muitas jomā un groza Regulu (ES) Nr. 952/2013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9. oktobra Regula (ES) Nr. 952/2013, ar ko izveido Savienības Muitas kodeksu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kārtība projekta izstrādē netiek piemērota, jo projekts neatbilst Ministru kabineta 2024. gada 15. oktobra noteikumu Nr. 639 "Sabiedrības līdzdalības kārtība attīstības plānošanas procesā” 4. punktā noteiktajiem kritērijiem.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sekmē publisko pakalpojumu digitalizāciju un administratīvā sloga mazināšanu uzņēmējiem, kas veic preču importu, eksportu, tranzītu un citas muitošanas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sekmē pakalpojumu digitalizāciju, pārejot no manuāliem procesiem uz automatizētu datu apstrādi un elektronisku dokumentu apriti, tiek uzlabota datu apmaiņa starp valsts un uzņēmēju sistēmām.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tieši saistīts ar Nacionālo attīstības plānu 2021.–2027. gadam (NAP2027) mērķiem, jo veicina valsts pārvaldes digitalizāciju, drošību un ekonomikas efektivitāti. Projekta īstenošana palīdzēs uzlabot publisko pakalpojumu kvalitāti, veicinās ātrāku datu apriti ar uzņēmējiem un Eiropas Savienības sistēmām, kā arī samazinās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klientiem sistēmā iespējams iesniegt muitas deklarācijas un citus muitas dokumentus neatkarīgi no to atrašanās vietas, t.i., neierodoties muitas iestādē, realizēta arī iespēja veikt muitas maksājumu apmaksu tiešsaistes režīmā, kas nodrošina muitas iestādes ar operatīvo informāciju par veiktajiem maksājumiem elektroniskā veidā. Tādējādi nodrošināta iespēja kārtot muitas formalitātes arī personām ar kustību vai dzirdes traucējumiem. Bezmaksas semināri, kuros muitas klienti tiks informēti par muitas sistēmu pilnveidojumiem, notiks telpās, kurās nokļūšana jau ir pielāgota cilvēkiem ar īpašām vajadzībām, vai arī attālināti.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tiek apstrādāti, lai nodrošinātu muitas funkciju īstenošanu, t. i., lai aizsargātu Eiropas Savienības un valsts finanšu intereses, nodrošinātu drošību un īstenotu preču aprites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tiks nodrošināta saskaņā ar Eiropas Parlamenta un Padomes 2016. gada 27. aprīļa Regulā (ES) 2016/679 par fizisku personu aizsardzību attiecībā uz personas datu apstrādi un šādu datu brīvu apriti un ar ko atceļ Direktīvu 95/46/EK (Vispārīgā datu aizsardzības regula)noteiktajiem principiem.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25-TA-2157</w:t>
    </w:r>
    <w:r>
      <w:br/>
    </w:r>
    <w:r w:rsidR="00000000" w:rsidRPr="00000000" w:rsidDel="00000000">
      <w:rPr>
        <w:rtl w:val="0"/>
      </w:rPr>
      <w:t xml:space="preserve">Izdrukāts 29.07.2026. 21.44 - 2.0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25-TA-2157</w:t>
    </w:r>
    <w:r>
      <w:br/>
    </w:r>
    <w:r w:rsidR="00000000" w:rsidRPr="00000000" w:rsidDel="00000000">
      <w:rPr>
        <w:rtl w:val="0"/>
      </w:rPr>
      <w:t xml:space="preserve">Izdrukāts 29.07.2026. 21.44 - 2.0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anotācija_(ex_ante)_25-TA-2157.docx</dc:title>
</cp:coreProperties>
</file>

<file path=docProps/custom.xml><?xml version="1.0" encoding="utf-8"?>
<Properties xmlns="http://schemas.openxmlformats.org/officeDocument/2006/custom-properties" xmlns:vt="http://schemas.openxmlformats.org/officeDocument/2006/docPropsVTypes"/>
</file>