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2.2.1. specifiskā atbalsta mērķa "Veicināt ilgtspējīgu ūdenssaimniecību" 2.2.1.1. pasākuma "Notekūdeņu un to dūņu apsaimniekošanas sistēmas attīstība piesārņojuma samazināšanai" otrās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kohēzijas politikas programmas 2021.–2027. gadam 2.2.1. specifiskā atbalsta mērķa "Veicināt ilgtspējīgu ūdenssaimniecību" 2.2.1.1. pasākuma "Notekūdeņu un to dūņu apsaimniekošanas sistēmas attīstība piesārņojuma samazināšanai" otrās projektu iesniegumu atlases kārtas īstenošanas noteikumi" (turpmāk – Noteikumu projekts) izstrādāts, pamatojoties uz Eiropas Savienības (turpmāk - ES) fondu 2021. — 2027. gada plānošanas perioda vadības likuma 19. panta 13. punktu. MK noteikumu projekts nosaka projektu iesniegumu atlases veidu, par pasākuma īstenošanu atbildīgo iestādi, pieejamo finansējumu, prasības projekta iesniedzējam, atbalstāmās darbības, attiecināmās izmaksas un projekta īstenošanas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Eiropas Savienības (turpmāk  – ES) kohēzijas politikas programmas 2021. – 2027. gadam 2.2.1. specifiskā atbalsta mērķa “Veicināt ilgtspējīgu ūdenssaimniecību” 2.2.1.1. pasākuma “Notekūdeņu un to dūņu apsaimniekošanas sistēmas attīstība piesārņojuma samazināšanai" (turpmāk – Pasākums) otrās projektu iesniegumu atlases kārtas (turpmāk – otrā kārta) īstenošanas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27. novembra Direktīva (ES) 2024/3019 par komunālo notekūdeņu attīrīšanu (turpmāk – Direktīva 2024/3019), kas publicēta Eiropas Savienības Oficiālajā vēstnesī 2024. gada 12. decembrī, nosaka papildu prasības (salīdzinot ar iepriekšējo Direktīvas redakciju) tām ūdenssaimniecības aglomerācijām (turpmāk - aglomerācija), kuru slodze lielāka par 10 000 CE, un jo īpaši visām aglomerācijām, kuru slodze pārsniedz 100 000 cilvēkekvivalenta vienību (turpmāk – CE), prasības piemērojot notekūdeņu attīrīšanai, energoneitralitātei, lietusūdeņu apsaimniekošanai, kā arī monitoringam. 2025. gada sākumā Latvijā ir tikai viena aglomerācija, kur CE ir lielāks par 100 000, un tā ir Rīgas aglomerācija.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Direktīvu 2024/3019 aglomerācijām ar CE lielāku nekā 100 000 netiek mainītas prasības attiecībā uz bioķīmisko skābekļa patēriņu, ķīmisko skābekļa patēriņu un suspendētajām vielām, taču līdz 2039. gada 31. decembrim jānodrošina attīrīto notekūdeņu atbilstība šādiem jauniem normatīviem: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fosfors: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koncentrācija – 0,5 mg/l (līdz šim 1 mg/l);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samazinājums – 90 % (līdz šim 80 %);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slāpeklis: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koncentrācija – 8 mg/l (līdz šim 10 mg/l);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samazinājums – 80 % (līdz šim 70-80 %).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direktīvā norādīts, ka aglomerāciju ar CE lielāku nekā 100 000 attīrīšanas iekārtām un kanalizācijas tīkliem līdz 2028. gada 31. decembrim jāveic energoaudits, līdz 2045. gadam sasniedzot noteiktu notekūdeņu attīrīšanas iekārtu (turpmāk – NAI) pašu saražotās atjaunīgās enerģijas īpatsvaru to kopējā enerģijas patēriņā.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apsaimniekošanas investīciju plānā 2021.-2027. gadam (turpmāk - Notekūdeņu investīciju plāns) 6.6. punktā norādīts, ka ieguldījumi NAI nepieciešami Rīgas aglomerācijā, kur iespējamas problēmas ar jaudu nepietiekamību, pieaugot iedzīvotāju skaitam tai tuvējās Pierīgas aglomerācijās (piemēram, Ķekava, Mārupe, Babīte, Jūrmala), kas notekūdeņus pārsūknē uz SIA “Rīgas ūdens” NAI. Ieguldījumu rezultātā tiktu uzlabota ne vien NAI attīrīšanas jauda, bet arī to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apsaimniekošanas investīciju plāna 4.6. apakšnodaļā “Ieguldījumu novērtējums notekūdeņu dūņu apsaimniekošanas risinājumos” secināts, ka aglomerācijās ar CE lielāku nekā 100 000 būtiska ir notekūdeņu dūņu kā izejmateriāla vai resursa izmantošanas veicināšana. Ņemot vērā, ka uz SIA “Rīgas ūdens” bioloģiskās attīrīšanas staciju “Daugavgrīva” tiek pārsūknēti notekūdeņi arī no tuvējām Pierīgas aglomerāciju pašvaldībām, tajā rodas liels notekūdeņu dūņu apjoms, turklāt Notekūdeņu dūņu apsaimniekošanas plānā 2024.-2027. gadam (turpmāk - Dūņu apsaimniekošanas plāns) prognozēts, ka iekšējās migrācijas ietekmē Pierīgas aglomerāciju pašvaldībās radīto notekūdeņu apjoma dēļ pieaugs arī NAI radīto dūņu apjoms. Notekūdeņu dūņu apstrādei nepieciešamās investīcijas SIA “Rīgas ūdens” NAI identificētas arī Dūņu apsaimniekošanas plānā (4.4. tabula).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izstrādāti nosacījumi par Eiropas Reģionālās attīstības fonda (turpmāk - ERAF) finansējuma atbalstu darbību īstenošanai Rīgas aglomerācijā, kur CE pārsniedz 100 000.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MK noteikumu projekts, ņemot vērā iepriekš aprakstīto, tostarp plānošanas dokumentos identificētās investīciju vajadzības, kā arī izmaiņas, kas ieviešamas saistībā ar Direktīvas 2024/3019 stāšanos spēkā, sekmējot atbilstību stingrākām prasībām, un vienlaikus turpinot iepriekšējā plānošanas periodā Rīgas aglomerācijā veiktās investīcijas infrastruktūras izbūvē, pārbūvē vai atjaunošanā. Tā kā 2014.-2020. gada plānošanas periodā veikta jaunu kanalizācijas tīkla cauruļvadu un kanalizācijas sūkņu staciju izbūve Imantā, Ziepniekkalnā, Teikā, Berģos un Beberbeķos, un tādējādi centralizēti savākto notekūdeņu apjoms palielinājies, tādēļ, lai nodrošinātu šādam apjomam atbilstīgu notekūdeņu attīrīšanu, jaudas un efektivitātes uzlabošanai nepieciešamas papildus investīcijas notekūdeņu attīrīšanas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otrajā atlases kārtā īstenojamās darbības tieši sekmēs Eiropas Savienības stratēģijas Baltijas jūras reģionam stratēģiskā mērķa “Glābt jūru” sasniegšanu, darbību rezultātā uzlabojot notekūdeņu attīrīšanas kvalitāti un samazinot barības vielu koncentrāciju attīrītajos notekūdeņos (tostarp sekmējot Direktīvas 2024/3019 prasību izpildi), vienlaikus samazinot barības elementu (slāpekļa un fosfora) nonākšanu no punktveida piesārņojuma avota Baltijas jūrā (“Nutri” politikas plānošanas virziena 2. darbība “Samazināt barības vielu emisijas no apdzīvotām vietām un citiem punktveida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Pieejamais finansējums un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atlases kārtas darbību īstenošanai plānotais ERAF finansējums ir 22 309 636 </w:t>
      </w:r>
      <w:r w:rsidR="00000000" w:rsidRPr="00000000" w:rsidDel="00000000">
        <w:rPr>
          <w:i w:val="1"/>
          <w:rtl w:val="0"/>
        </w:rPr>
        <w:t xml:space="preserve">euro</w:t>
      </w:r>
      <w:r w:rsidR="00000000" w:rsidRPr="00000000" w:rsidDel="00000000">
        <w:rPr>
          <w:rtl w:val="0"/>
        </w:rPr>
        <w:t xml:space="preserve">. ERAF finansējuma apmērs Pasākuma otrās atlases kārtas ietvaros nepārsniedz 50 procentus no projekta plānotā kopējā attiecināmā finansējuma, un līdzfinansējums ir vismaz 50 procenti no projektam plānotā kopējā attiecināmā finansējuma. Šāds investīciju atbalsta procentuālais apjoms ir noteikts, lai veicinātu privātā finansējuma piesaisti projekta aktivitātēm, turklāt atbalsta intensitāte noteikta, ņemot vērā būtiskos ES fondu ieguldījumus ūdenssaimniecības infrastruktūrā iepriekšējos ES fondu periodos un sākotnēji plānoto, ka atbalsts tiktu sniegts finanšu instrumentu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atlases kārtas ietvaros līdz 2029. gada 31. decembrim sasniedzami šādi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iznākuma rādītājs – atbalstītie uzņēmumi (tai skaitā mikrouzņēmumi, mazie, vidējie un lielie uzņēmumi). Iznākuma rādītāja vērtība tiek sasniegta, ja otrās kārtas projektu ietvaros veikti ieguldījumi, nodrošinot atbalstu vienam uzņēmumam;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rezultāta rādītājs – iedzīvotāji, kuriem uzlabota notekūdeņu attīrīšanas kvalitāte un efektivitāte. Rezultāta rādītāja vērtība tiek sasniegta, ja otrās kārtas projektu ietvaros veikti ieguldījumi, lai nodrošinātu, ka iedzīvotāju skaits, kuriem uzlabota notekūdeņu attīrīšanas efektivitāte, ir vismaz 613 637 iedzīvotāji. Rādītāja vērtībā ņem vērā arī to Rīgas aglomerācijai pieguļošo Pierīgas aglomerāciju iedzīvotājus, kuru radītos notekūdeņu pārsūknē attīrīšanai uz SIA “Rīgas ūdens” bioloģiskās attīrīšanas staciju “Daugavgrīva”. Rādītāja sasniegšanai jānodrošina Rīgas aglomerācijai atbilstoša notekūdeņu attīrīšanas kvalitāte, tai sasniedzot vismaz trešējo (terciāro) attīrīšanas pakāpi.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atlases kārtas ietvaros projektu īsteno līdz 2029. gada 31. decembrim, ievērojot, ka lielākā daļa darbību paredz būvdarbus, kā arī iekārtu piegādi.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Prasības projekta iesniedzējam un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 atlases kārta plānota kā ierobežota projektu iesniegumu atlase, kurā, ievērojot nozares plānošanas dokumentos noteiktās investīciju vajadzības, kā projekta iesniedzējs finansējuma saņēmējs noteikts SIA “Rīgas ūdens”, sniedzot atbalstu kā sabiedrisko ūdenssaimniecības pakalpojumu sniedzējam vispārējas tautsaimnieciskas nozīmes pakalpojumu sniegšanas kvalitātes uzlabošanai notekūdeņu attīrīšanas un novadīšanas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 un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investīciju veikšanu Rīgas aglomerācijā īstenojamam projektam, tai skaitā atjaunināto Komunālo notekūdeņu direktīvas prasību ieviešanas sekmēšanai, ņemot vērā, ka Direktīvā 2024/3019 noteiktas būtiski stingrākas notekūdeņu attīrīšanas prasības, kas aprakstītas sadaļā “Pašreizējā situācija”, kā arī plānots sniegt atbalstu Notekūdeņu investīciju plānā un Dūņu apsaimniekošanas plānā identificēto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atlases kārtas ietvaros tiek paredzētas darbības, kas ietver investīcijas infrastruktūras izveidei, pārbūvei vai atjaunošanai, kā arī tās funkcionalitātes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NAI efektivitātes un attīrīšanas kvalitātes uzlabošana, tai skaitā trešējās notekūdeņu attīrīšanas uzlabošanai (tostarp, piemēram, papildu attīrīšanas metodes, kas nodrošina slāpekļa un fosfora atdalīšanu no notekūdeņiem);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notekūdeņu dūņu apstrādes iekārtu izveide, pārbūve vai atjaunošana, pamatojot siltumnīcefekta gāzu emisiju (turpmāk - SEG) samazinājumu, notekūdeņu nostādinātāju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sabiedriskā ūdenssaimniecības pakalpojuma nodrošināšanu saistīto inženiertīklu izveide, pārbūve vai rekonstrukcija.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atlases kārtas ietvaros paredzētās darbības notekūdeņu dūņu apstrādes infrastruktūras izveidē, pārbūvē vai atjaunošanā izprotamas Ūdenssaimniecības pakalpojumu likuma 1. panta 7.</w:t>
      </w:r>
      <w:r w:rsidR="00000000" w:rsidRPr="00000000" w:rsidDel="00000000">
        <w:rPr>
          <w:vertAlign w:val="superscript"/>
          <w:rtl w:val="0"/>
        </w:rPr>
        <w:t xml:space="preserve">4</w:t>
      </w:r>
      <w:r w:rsidR="00000000" w:rsidRPr="00000000" w:rsidDel="00000000">
        <w:rPr>
          <w:rtl w:val="0"/>
        </w:rPr>
        <w:t xml:space="preserve"> punktā ietvertā termina “notekūdeņu dūņu apstrāde” skaidrojuma ietvaros un kā daļa no notekūdeņu dūņu apsaimniekošanas kopuma. Notekūdeņu dūņu apstrādes darbības šī punkta ietvaros saprotamas kā, piemēram, dūņu atūdeņošana vai mehāniska iebiezināšana, izņemot notekūdeņu dūņu pārstrādi. Notekūdeņu dūņu pārstrādes darbības noteiktas minētā likuma 1. panta 7.</w:t>
      </w:r>
      <w:r w:rsidR="00000000" w:rsidRPr="00000000" w:rsidDel="00000000">
        <w:rPr>
          <w:vertAlign w:val="superscript"/>
          <w:rtl w:val="0"/>
        </w:rPr>
        <w:t xml:space="preserve">5</w:t>
      </w:r>
      <w:r w:rsidR="00000000" w:rsidRPr="00000000" w:rsidDel="00000000">
        <w:rPr>
          <w:rtl w:val="0"/>
        </w:rPr>
        <w:t xml:space="preserve"> punktā, tām ietverot dūņu struktūru mainošas metodes (raudzēšana biogāzes iegūšanai, kompostēšana, aukstā fermentācija, citas metodes), radot utilizējamu produktu. Notekūdeņu dūņu apstrāde tiek veikta sabiedriskā ūdenssaimniecības pakalpojuma tvērumā (tas noteikts Ūdenssaimniecības pakalpojuma likuma 1. panta 9. punktā, kur ietvertas darbības, tai skaitā notekūdeņu attīrīšanā, attīrīšanas procesā radušos notekūdeņu dūņu apstrādē un citas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atlases kārtas ietvaros attiecināmās izmaksas ir pakārtotas atbalstāmajām darbībām, tas ir, attiecināmas ir izmaksas atbalstāmo darbību īstenošanai, kā arī saistītās nepieciešamās darbības šo procesu nodrošināšanai, projekta iesnieguma sagatavošanas izmaksas (izmaksu un ieguvumu analīzes, SEG emisiju ietaupījuma aprēķina izmaksas), projekta komunikācijas un vizuālās identitātes izmaksas, izmaksas horizontālā principa "Vienlīdzība, iekļaušana, nediskriminācija un pamattiesību ievērošana" nodrošināšanai, piemēram, zīmju valodas tulku, vieglās valodas tulkošanas, reāllaika transkripcijas un subtitru nodrošināšanas pakalpojumu izmaksas, pievienotās vērtības nodokļa izmaksas (kas tiešā veidā saistītas ar projektu). Komunikācijas un vizuālās identitātes pasākumu īstenošanai izmantojamas Eiropas Savienības fondu 2021.-2027. gada plānošanas perioda un Atveseļošanas fonda komunikācijas un dizaina vadlīnijas. Normatīvo aktu prasību izpildei nepieciešamās izmaksas (piemēram, ietekmes uz vidi novērtējums vai grozījumu sagatavošana piesārņojošās darbības atļaujā) jāsedz finansējuma saņēmējam par saviem līdzekļiem, ar otrajā atlases kārtā piešķiramo finansējumu galvenokārt sedzot tehnisko, tehnoloģisko risinājumu, ar to ieviešanu saistītās izmaksas, tostarp būvdarbu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plānotajām atbalstāmajām darbībām MK noteikumu projektā noteikti attiecināmo izmaksu veidi, paredzot ar būvniecību saistītās izmaksas (tai skaitā būvprojekta izstrādes un uzraudzības izmaksas), arī tehnoloģisko iekārtu iegādes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var plānot līdzekļus neparedzētiem gadījumiem vai rezerves izmaksas. Tas ir finanšu apjoms, kas var tikt plānots iepriekš neparedzamu apstākļu iestāšanās seku mazināšanai. Ņemot vērā, ka projekta ietvaros var tikt veikta arī būvniecība, MK noteikumu projekts paredz, ka finansējuma saņēmējs nepieciešamības gadījumā var izmantot neparedzēto izdevumu apjomu (līdz 5 procentu apmērā no projekta kopējām tiešajām attiecināmajām izmaksām) vai rezerves izmaksu apjomu (līdz 10 procentu apmērā no projekta attiecināmajām būvniecības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īstenojamo darbību mērogs ir liels, ietverot dažāda rakstura tehniskos vai tehnoloģiskos darbus (tostarp infrastruktūras izbūvi, pārbūvi un atjaunošanu), Noteikumu projektā paredzēts, ka gan sadārdzinājumu, gan papildus izmaksas (piemēram, ja finansējuma saņēmējs projekta īstenošanas gaitā jau sedzis sadārdzinājumu vai citas radušās izmaksas atbilstoši Noteikumu projekta 27.7. vai 27.8. apakšpunkta nosacījumiem, tad nav iespējama citu pēkšņi radušos izmaksu segšana no šīm attiecināmo izmaksu pozīcijām) sedz no saviem līdzekļiem, vienlaikus ievērojot attiecināmo komercdarbības atbalsta regulējuma normu piemērošanu.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atlases kārtas projektā ir pieļaujams, ka projektā tā mērķa sasniegšanai tiek paredzētas darbības ārpus projekta. Tādos gadījumos projekta iesniegumā jānorāda visa informācija par tām. Attiecīgi arī noteikta prasība projektā plānotajiem objektiem būt funkcionējošiem (jādarbojas) ne vēlāk kā līdz noslēguma maksājuma iesniegšanas dienai sadarbības iestādē. Tādējādi tiek pieļauta kumulācija ar citu projektu (tai skaitā ar komercdarbības atbalstu īstenotu) vai pašu īstenotām darbībām, ja vien tiek novērsts dubultās finansēšanas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paredzētas vienkāršotās izmaksas, jo pasākuma otrajā atlases kārtā tiek piemērots komercdarbības atbalsta regulējums sabiedrisko pakalpojumu sniedzējiem, kā arī nevienā atbalstāmo darbību gadījumā nav iespējamas izmaksas, kas ir zemākas par 200 000 </w:t>
      </w:r>
      <w:r w:rsidR="00000000" w:rsidRPr="00000000" w:rsidDel="00000000">
        <w:rPr>
          <w:i w:val="1"/>
          <w:rtl w:val="0"/>
        </w:rPr>
        <w:t xml:space="preserve">euro </w:t>
      </w:r>
      <w:r w:rsidR="00000000" w:rsidRPr="00000000" w:rsidDel="00000000">
        <w:rPr>
          <w:rtl w:val="0"/>
        </w:rPr>
        <w:t xml:space="preserve">(ieskaitot).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paredzēts, ka sadarbības iestāde var piešķirt finansējuma saņēmējam avansu līdz 50 procentiem no projektam piešķirtā ERAF finansējuma pēc civiltiesiskā līguma par projekta īstenošanu noslēgšanas, ievērojot, ka avansu var izmaksāt vairākos maksājumos un avansa un starpposma maksājumu kopsumma nepārsniedz 90 procentus no projektam piešķirtā ERAF finansējuma. Šāds piešķiramā avansa apmērs noteikts kā optimālākais variants, kas nepieciešams projektu īstenošanai, lai tiktu nodrošināta naudas plūsma projektā iekļauto darbību ieviešanai, ņemot vērā, ka projekta iesniedzējs ir pašvaldības kapitālsabiedrība, kā arī ņemot vērā, ka nepieciešams veicināt investīciju nonākšanu tautsaimniecībā un nodrošināt n+3 principa izpildi. Vienlaikus projektu iesniedzējiem tiek noteikta prasība reizē ar avansa pieprasījumu iesniegt pamatojumu par spēju avansu izlietot sešu mēnešu laikā. Avansa izlietošanas termiņš noteikts, ņemot vērā plānoto atlases laika grafiku un to, ka infrastruktūras būvniecība ir cieši saistīta ar sezonalitāti  - ziemas sezonā ir ierobežota būvdarbu veikšana ārtelpā, tāpēc nepieciešams plānot ilgāku laiku avansa izlietošanai, iekļaujot arī aktīvās būvdarbu sezonas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Avanss finansējuma saņēmējam tiks izmaksāts tikai tad, ja norādītajā termiņā ir iespējams to apgūt, piemēram, projekta iesniedzējam ir pabeigts būvdarbu iepirkums (vai iepirkumu komisija ir pieņēmusi lēmumu par iepirkuma uzvarētāju) vai noslēgts būvdarbu līgums, pakalpojumu līgums un citos gadījumos atbilstoši sadarbības iestādes noteiktajām iekšējās kārtības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attiecināmas no 2023. gada 1. janvāra, ņemot vērā,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fondu 2021.—2027. gada plānošanas perioda vadības likuma 36. pantā noteikts, ka projektā radušās izmaksas uzskatāmas par attiecināmām, ja radušās pēc 2021. gada 1. janvāra, kā arī atbildīgā iestāde atbilstoši Eiropas Savienības fondu 2021.—2027. gada plānošanas perioda vadības likuma 19. pantā noteiktajām kompetencēm nav noteikusi citu termiņu;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gada 26. oktobrī Eiropas Komisija publicēja priekšlikumu par Eiropas Parlamenta un Padomes Direktīvas par komunālo notekūdeņu attīrīšanu redakcijas pārstrādāšanu (COM/2022/541 final), tādējādi jau 2022. gada ceturtajā ceturksnī dalībvalstīm un to ūdenssaimniecības uzņēmumiem bija pieejama informācija par jaunu prasību ieviešanu komunālo notekūdeņu attīrīšanas jomā, nodrošinot iespēju savlaicīgi plānot nepieciešamās darbības to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gada 31. oktobrī tika publicēts dalībvalstu viedokļu apkopojums, kurā Latvija norādījusi, ka šo mērķu sasniegšanai nepieciešams liels finansējuma apjoms, tādēļ, lai atbalstītu ūdenssaimniecības pakalpojumu sniedzējus, nepieciešams sniegt papildus atbalstu, finanšu līdzekļus nodrošinot arī daudzgadu finanšu shēmas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Notekūdeņu apsaimniekošanas investīciju plāns 2021.-2027. gadam izstrādāts 2019.-2020. gadā, un šinī plānā identificēto pasākumu veikšanai nepieciešamo darbību plānošanu bija iespējams uzsākt jau 2020.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otrā atlases kārta īstenojama kā ierobežota projektu iesniegumu atlase, kuras nosacījumi veidoti tā, lai atbalstītu finansējuma saņēmēja nepieciešamības, kā arī sekmētu kopējo N+3 mērķa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Demarkācija ar Programmas 2.2.2.3. pasākumu “Notekūdeņu dūņu pārstrāde” nodrošināma, ņemot vērā to, ka 2.2.2.3. pasākumā tiks atbalstītas notekūdeņu dūņu pārstrādes iekārtu izveides vai atjaunošanas darbības, bet 2.2.1.1. pasākuma atlases kārtā atbalsts paredzēts notekūdeņu dūņu apstrādes iekārtām.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Demarkācija ar Programmas 2.1.1.6. pasākuma otro kārtu tiks nodrošināta, ņemot vērā, ka 2.1.1.6. pasākumā atbalstītas darbības, kas vērstas uz ūdenssaimniecības pakalpojumā iesaistīto iekārtu energoefektivitātes paaugstināšanu, atbalstīta atjaunīgos energoresursus izmantojošu iekārtu uzstādīšana, savukārt 2.2.1.1. pasākuma ietvaros darbības vērstas uz notekūdeņu attīrīšanas iekārtu darbības uzlabošanu un notekūdeņu dūņu apstrādes infrastruktūras izveidi.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pasākuma otrās kārtas ietvaros nav paredzēts atbalstīt tādas darbības kā pētniecības un attīstības, inovāciju darbības, kas atbalstāmas Eiropas Strukturālo un investīciju fondu mērķa "Eiropas teritoriālā sadarbība" (INTERREG) ietvaros, kā arī Noteikumu projektā paredzētās investīcijas nav nodrošināmas LIFE programmas ietvaros, ņemot vērā, ka darbību īstenošanas rezultātā netiktu sasniegti Eiropas Parlamenta un Padomes 2021. gada 29. aprīļa Regulas (ES) 2021/783, ar ko izveido vides un klimata pasākumu programmu (LIFE) un atceļ Regulu (ES) Nr. 1293/2013 II pielikumā noteiktie iznākuma rādītāji.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pasākuma otrās kārtas ietvaros nav paredzēts piešķirt atbalstu centralizētās kanalizācijas tīklu izveidei, pārbūvei vai atjaunošanai, tostarp pieslēgumu izveidei, kas atrodas ārpus notekūdeņu attīrīšanas iekārtu kompleksa “Daugavgrīva”. Atbalsts paredzēts tādu inženiertīklu izveidei, pārbūvei vai atjaunošanai, kas tiešā veidā nodrošina notekūdeņu attīrīšanas kompleksa darbību un bez kuru darbības sabiedriskā pakalpojuma sniegšana nebūtu iespējama. Tādējādi tiek sekmēta tālāka Rīgas aglomerācijas ūdenssaimniecības sistēmas attīstība, nodrošinot, ka iepriekšējā plānošanas periodā veikto ieguldījumu rezultātā palielinājušies notekūdeņu apjomi tiek apstrādāti atbilstoši tiesību aktos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Komercdarbības atbalsta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finansējumu otrajā atlases kārtā piešķir, piemērojot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tautsaimniecisko nozīmi, nosakot prasību par pārkompensācijas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funkcijas uzlicējs (pašvaldība) varētu kvalitatīvi novērst pārkompensācijas riskus un izpildīt pienākumu par pārkompensācijas uzraudzību, funkcijas uzlicējam jānosaka atlīdzības (kompensācijas) mehānisma kontroles un pārskatīšanas kārtība, ievērojot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Šādu kārtību iespējams noteikt, piemēram, funkcijas uzlicējam izdodot šī mehānisma piemērošanas un kontroles kārtību vai sabiedrisko pakalpojumu sniegšanas līgumā iekļaujot detalizētu pārkompensācijas kontroles mehānisma aprakstu, tostarp šāda regulējuma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divpusēja pakalpojumu līguma par sabiedrisko ūdenssaimniecības pakalpojumu sniegšanu starp pašvaldību, kuras teritorijā (vai tās daļā) tiek sniegti sabiedriskie pakalpojumi, un SIA “Rīgas ūdens”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trīspusēja pakalpojumu līguma par sabiedrisko ūdenssaimniecības pakalpojumu sniegšanu starp Rīgas valstspilsētas pašvaldību, SIA “Rīgas ūdens” un (valstspilsētas, novada) pašvaldību, kuras teritorijai vai tās daļā tiek sniegti sabiedriskie ūdenssaimniecības pakalpojumi,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pārkompensācijas uzraudzības mehānisma esamība tiek izvērtēta projekta iesnieguma vērtēšanas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Neatbalstāmo darbību loks MK noteikumu projektā noteikts saskaņā ar komercdarbības atbalsta regulējuma ierobežojumiem un nolūkā samazināt darbību pārklāšanos ar citām ES fondu investīciju programmām.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Horizontālie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Ieguldījumiem projektā noteikti horizontālo principu (turpmāk – HP) "Nenodarīt būtisku kaitējumu", “Klimatdrošināšana”, "Energoefektivitāte pirmajā vietā" un "Vienlīdzība, iekļaušana, nediskriminācija un pamattiesību ievērošana" kritēriji, darbības un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Tieša ietekme noteikta attiecībā uz HP “Energoefektivitāte pirmajā vietā”, projekta ietvaros īstenojot darbības, kas sekmē enerģijas ietaupījumu, kā arī citas darbības, kas ir izmaksefektīvi, tehniski, ekonomiski un videi nekaitīgi alternatīvi pasākumi, un vienlīdz efektīvi nodrošina attiecīgo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Ieguldījumiem projektā ir tieša ietekme gan uz HP “Nenodarīt būtisku kaitējumu”, gan HP "Klimatdrošināšana", un abu HP ietvaros noteikti nosacījumi, kas ir saistoši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ievērot zaļā publiskā iepirkuma principu ievērošanu saskaņā ar Ministru kabineta 2017. gada 20. jūnija noteikumu Nr. 353 "Prasības zaļajam publiskajam iepirkumam un to piemērošanas kārtība" (turpmāk – MK noteikumi Nr. 353) 1. un 2. pielikumu, kur tas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izmaksu un ieguvumu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aprēķināt SEG emisiju ietaupījumu (izpilda arī HP “Klimatdrošināšana”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dūņu apstrādi saskaņā ar Dūņu apsaimniekošanas plānā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 ka vismaz 70 procenti no nebīstamiem būvgružiem un ēku nojaukšanas atkritumiem, kas būvlaukumā radušies būvniecības laikā, tiks sagatavoti atkalizmantošanai, pārstrādei un citu materiālu reģenerācijai;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procesa laikā ievērot prasības par koku ciršanas aizliegumu putnu ligzdošanas periodā un jānodrošina esošo koku veselības stāvokļa aizsardzība, tai skaitā nekaitējot koku saknēm;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paredzētajām darbībām ir veikt ietekmes uz vidi novērtējumu vai sākotnējo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projekta ietekmi uz HP īstenošanu finansējuma saņēmējs uzkrāj datus par projekta ietekmi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HP "Klimatdrošināšana": uzkrāj datus par SEG emisiju ietaupījumu (ja attiecināms) un infrastruktūrai veikto klimatiskās ietekmes faktoru izvērtējumu (un darbībām, kas veiktas, lai padarītu infrastruktūru noturīgu pret šo faktoru izpausmēm,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HP "Energoefektivitāte pirmajā vietā": uzkrāj datus par ar projekta īstenošanu sasniegto enerģijas ietaupījumu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otrajā atlases kārtā nav ietekmes uz HP “Vienlīdzība, iekļaušana, nediskriminācija un pamattiesību ievērošana”, ņemot vērā, ka projekta mērķis ir saistīts ar tehniskām darbībām, tas ir, iekārtu maiņu vai pielāgošanu, turklāt tehniskās telpas nav pieejamas publiskai lietošanai, tādēļ projektā jāiekļauj tikai viena vispārīga darbība, to attiecinot uz publicitāti, personālu vai publiskajiem iepirkumiem. Izstrādājot informatīvos materiālus, finansējuma saņēmēji ir īpaši aicināti tos izstrādāt, ievērojot vides un informācijas piekļūstamības principu, proti, informācija būs piekļūstama personām ar funkcionāliem traucējumiem ar vairākiem sensorajiem kanāliem (redze, dzirde, tauste).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Citi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nodrošina interešu konflikta neesību saskaņā ar Eiropas Parlamenta un Padomes 2024. gada 23. septembra Regulas (ES, Euratom) 2024/2509 par finanšu noteikumiem, ko piemēro Savienības vispārējam budžetam 61. panta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pēcuzraudzību sadarbības iestāde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 pantam veic piecus gadus, nodrošinot darbību ilglaicīgumu.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tiks izvirzīta prasība veikt izmaksu un ieguvumu analīzi, tādējādi norādot uz gaidāmajām izmaksām, riskiem, tostarp ekonomisko ietekmi projekta īstenošanas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dzīves cikla garums – 30 gadi – izvēlēts atbilstoši ES Reģionālās politikas un pilsētpolitikas ģenerāldirektorāta ES fondu 2014.-2020. gada plānošanas periodā izstrādātajam “Guide to Cost-Benefit Analysis of Investment Projects. Economic appraisal tool for Cohesion Policy 2014-2020”.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apsaimniekošanas investīciju plāns 2021.–2027.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ņemti vērā Notekūdeņu apsaimniekošanas investīciju plānā 2021.-2027. gadam un tā pielikumos iekļautie dati, kas sagatavoti, veicot aptaujas ar ūdenssaimniecības uzņēmumu pārstāvjiem, tostarp SIA “Rīgas ūdens”, veicot nepieciešamo investīciju aprēķinus, kā arī norādot uz investīciju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dūņu apsaimniekošanas plāns 2024.–2027.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ņemti vērā Notekūdeņu dūņu apsaimniekošanas plāna 2024.-2027. gadam aprakstītie investīciju virzieni, kā arī plānā norādītās alternatīvas.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atlases kārtas īstenošanai pieejamais finansējums ir elastības finansējums, ko saskaņā ar MK sēdes protokollēmumu par 2025. gada 27. maijā pieņemto rīkojuma projektu “Grozījumi Ministru kabineta 2021. gada 16. novembra rīkojumā Nr. 841 “Par Eiropas Savienības kohēzijas politikas programmu 2021.-2027. gadam”” (tiesību akta lietas ID: 25-TA-321) ir atļauts izmantot pirms Eiropas Komisijas lēmuma par vidusposma pārskatu, ievērojot nepieciešamību intensificēt ES fondu investīcijas, kā arī nodrošināt n+3 mērķu izpildi.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iedzīvotājiem tiks uzlabota notekūdeņu attīrīšanas efektivitāte, tādējādi tiks paaugstināta attīrīto notekūdeņu kvalitāte, kas attiecīgi ietekmē kopējo apkārtējās vides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ūdenssaimniecības pakalpojumu sniedzējs SIA “Rīgas ūdens” pildīs finansējuma saņēmēja funkcijas. Īstenojot projektu, finansējuma saņēmējam ir jāņem vērā noteikumu projektā noteiktais pieejamais ERAF finansējums, kritēriji projekta iesniegšanai un projektā sasniedzamās rādītāju vērtības. Viedās administrācijas un reģionālās attīstības ministrija pildīs atbildīgās iestādes funkcijas.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atlases kārtas investīciju īstenošanai nav paredzama būtiska, tieša ietekme uz tautsaimniecību un makroekonomisko vidi, tomēr tā netieši pozitīvi ietekmēs uzņēmējdarbības attīstību, to saistot ar plānoto pakalpojumu, piegāžu un būvdarbu līgumu izpildi, īstenojot atbalstāmās, tostarp tehniskās un tehnoloģiskās,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atlases kārtas investīciju īstenošanai nav paredzama būtiska, tieša ietekme uz tautsaimniecību un makroekonomisko vidi, tomēr darbību īstenošanas rezultātā sagaidāma pozitīva ietekme uz tādu komersantu darbību, kas nodarbojas ar atbalstāmajās darbības iekļauto tehnisko vai tehnoloģisko risinājumu projektēšanu, ražošanu, piegādi, uzstādīšanu, apkopi, uzturēšanu, arī tādiem komersantiem, kas nodrošina būvdarbus, būvuzraudzību, kas nepieciešams projektā paredzēto darbību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atbalstāmajās darbībās sekmēs ne vien mazo un vidējo uzņēmumu konkurētspēju, bet arī sniegs pozitīvu ietekmi šādu uzņēmumu darbiniekiem, kā arī pozitīvi ietekmēs paša sabiedriskā pakalpojuma sniedzēja darbinieku darbu, tas ir, projekta īstenošanā veikto ieguldījumu rezultātā nepieciešama ikdienas darbības uzraudzība, apkope un citu pienākumu veikšana.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2 969 560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5 280 025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5 650 021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2 969 560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5 280 025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5 650 021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2 969 560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5 280 025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5 650 021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2 969 560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5 280 025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5 650 021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otrās atlases kārtas ietvaros budžeta ieņēmumu un izdevumu sadalījums pa gadiem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- 2025. gadā maksājumus finansējuma saņēmējam 1 500 000 </w:t>
            </w:r>
            <w:r w:rsidR="00000000" w:rsidRPr="00000000" w:rsidDel="00000000">
              <w:rPr>
                <w:sz w:val="24"/>
                <w:i w:val="1"/>
                <w:rtl w:val="0"/>
              </w:rPr>
              <w:t xml:space="preserve">euro</w:t>
            </w:r>
            <w:r w:rsidR="00000000" w:rsidRPr="00000000" w:rsidDel="00000000">
              <w:rPr>
                <w:sz w:val="24"/>
                <w:rtl w:val="0"/>
              </w:rPr>
              <w:t xml:space="preserve">, ņemot vērā projekta iesnieguma sagatavošanas, iesniegšanas, vērtēšanas un civiltiesiskā līguma par projekta īstenošanu noslēgšanas laiku, kā arī projekta gatavību noteikumu projekta izstrādes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 gadā maksājumus finansējuma saņēmējam 2 969 560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- 2027. gadā maksājumus finansējuma saņēmējam 5 280 025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- 2028. gadā maksājumus finansējuma saņēmējam 5 650 021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- 2029. gadā maksājumus finansējuma saņēmējam 5 528 027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- 2030. gadā maksājumus finansējuma saņēmējam 1 382 003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Pasākuma otrās atlases kārtas ietvaros plānotās atbalstāmās darbības atbilst Programmas 2.2.1. specifiskā atbalsta mērķa "Veicināt ilgtspējīgu ūdenssaimniecību" noteiktajiem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064 "Ūdens resursu apsaimniekošana un ūdens resursu saglabāšana (tostarp upju baseinu apsaimniekošana, konkrēti pasākumi, kas vērsti uz pielāgošanos klimata pārmaiņām, atkalizmantošana, noplūdes mazināšana)" - 14 055 071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069 "Komerciālo, rūpniecisko atkritumu apsaimniekošana: rašanās novēršanas, apjoma samazināšanas, šķirošanas, atkārtotas izmantošanas, reciklēšanas pasākumi" - 4 015 734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065 "Notekūdeņu savākšana un apstrāde" - 4 238 831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Ieguldījumus plānots uzsākt 2025. gadā (maksājumu pieprasījumus arī iesniedzot 2025. gadā) un turpināt līdz 2029.gada beigām, kas ir maksimālais termiņš  projektu īstenošanai.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plānoti kā ERAF finansējuma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plānoti kā ERAF finansējuma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neietekmē amata vietu skaita izmaiņas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projekta īstenošanai attiecībā uz ERAF līdzfinansējuma nodrošināšanu tiks pieprasīts no valsts budžeta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īstenošanas finansējums infrastruktūras uzturēšanai finansējuma saņēmējam būs jāsedz no saviem līdzekļiem, finansējuma saņēmējs izvērtē spēju izdevumus segt patstāvīgi.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2021/1060, ar ko paredz kopīgus noteikumus par Eiropas Reģionālās attīstības fondu, Eiropas Sociālo fondu Plus, Kohēzijas fondu, TPF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pārņemtas normas attiecībā uz projektā nodrošināmo komunikācijas un vizuālās identitātes prasībām un pievienotās vērtības nodokļa attiecināmību, projekta vadības izmaksām un netiešo likmju piemērošanu, neparedzot stingrākas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2024/2509 par finanšu noteikumiem, ko piemēro Savienības vispārējam budžetam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pārņemtas normas attiecībā uz interešu konflikta novēršanu, neparedzot stingrākas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17.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sniegta atsauce uz minēto regulu saistībā ar grūtībās nonākuša uzņēmuma pazīmēm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32012D0021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2011. gada 20. decembra Lēmums par Līguma par Eiropas Savienības darbību 106. panta 2. punkta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2021/1060, ar ko paredz kopīgus noteikumus par Eiropas Reģionālās attīstības fondu, Eiropas Sociālo fondu Plus, Kohēzijas fondu, TPF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2024/2509 par finanšu noteikumiem, ko piemēro Savienības vispārējam budžetam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prasībhas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17. jūnija Regula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2011. gada 20. decembra Lēmums par Līguma par Eiropas Savienības darbību 106. panta 2. punkta piemērošanu valsts atbalstam attiecībā uz kompensāciju par sabiedriskajiem pakalpojumiem dažiem uzņēmumiem, kuriem uzticēts sniegt pakalpojumus ar vispārēju tautsaimniecisku nozīmi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2011. gada 20. decembra Lēmums par Līguma par Eiropas Savienības darbību 106. panta 2. punkta piemērošanu valsts atbalstam attiecībā uz kompensāciju par sabiedriskajiem pakalpojumiem dažiem uzņēmumiem, kuriem uzticēts sniegt pakalpojumus ar vispārēju tautsaimniecisku nozīmi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Ūdensapgādes un kanalizācijas uzņēmumu asociācija", Latvijas Lielo pilsētu asociācija, 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Pieejama TAP portālā MK noteikumu projekta sadaļā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rezultātā netika saņemti viedokļi, tāpēc viedokļu pārskats netiek pievienots.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izstrādā Viedās administrācijas un reģionālās attīstības ministrija, tas tiks saskaņots ar Finanšu ministriju, Tieslietu ministriju, Labklājības ministriju, Ekonomikas ministriju, Klimata un enerģētikas ministriju un citām institūcijām (ja attiecināms) atbilstoši MK 2021. gada 7. septembra noteikumos Nr. 606 “Ministru kabineta kārtības rullis” noteiktajai kārtībai.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atlases otrā kārta pozitīvi ietekmē publisko pakalpojumu attīstību, MK noteikumu projektā paredzētajām aktivitātēm uzlabojot sabiedriskā pakalpojuma veikšanas kvalitāti, kā arī, ja attiecināms, ietekmē NAI jaudu, SEG emisiju ietaupījumu.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aktivitātes ietekmē Nacionālā attīstības plāna 2021.˗2027. gadam rīcības virziena “Daba un vide “Zaļais kurss” rīcības virziena uzdevuma Nr. 284 “Augstas un labas kvalitātes virszemes un pazemes ūdensobjektu īpatsvara palielinājuma panākšana, kā arī iekšzemes ūdensobjektu un jūras vides stāvokļa uzlabošana un pazemes ūdens resursu aizsardzība, samazinot antropogēno slodzi, t. sk. notekūdeņu kaitīgo ietekmi uz dabas resursiem un vidi, nodrošinot nepieciešamās infrastruktūras izveidi un veicinot notekūdeņu dūņu apstrādi” mērķu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aktivitāšu veikšana palīdzēs mazināt antropogēno piesārņojumu, arī gaisa piesārņojuma mazināšanu NAI tuvumā.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Attiecināma HP “Nenodarīt būtisku kaitējumu” un HP "Klimatdrošināšana" darbību īstenošana, izpildot nepieciešamās prasības HP īstenošanā.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paredzēto aktivitāšu īstenošana sekmēs NAI darbības uzlabošanu, kā arī SEG emisiju ietaupījumu, sekmējot klimatneitralitātes mērķu sasniegšanu, tostarp attiecināma HP “Energoefektivitāte pirmajā vietā” un HP "Klimatdrošināšana" darbību īstenošana. Projekta ietvaros, kur tas attiecināms, piemērojams zaļais publiskais iepirkums preču un pakalpojumu grupām, kam tas noteikts MK noteikumos Nr. 353.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iesniedzēju un finansējuma saņēmēju veiktās darbības tiks daļēji segtas no ERAF finansējuma, mazinot iespējamo notekūdeņu apsaimniekošanas tarifu kāpumu.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otrajai atlases kārtai nav noteikta ietekme uz HP “Vienlīdzība, iekļaušana, nediskriminācija un pamattiesību ievērošana”, projektā jāiekļauj vismaz viena šī HP darbība attiecībā uz publicitāti, personālu vai publiskajiem iepirkumiem. Noteikumu izstrādes laikā ņemtas vērā Labklājības ministrijas un Tieslietu ministrijas izstrādātās vadlīnijas “Horizontālais princips “Vienlīdzība, iekļaušana, nediskriminācija un pamattiesību ievērošana” vadlīnijas īstenošanai un uzraudzībai (2021-2027)” (pieejams: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finansējuma saņēmējs aicināts nodrošināt šādu vispārīgu darbību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vai finansējuma saņēmēja tīmekļvietnē tiks izveidota sadaļa “Viegli lasīt”, kurā iekļauta īsa aprakstoša informācija par projektu un citu lasītājiem nepieciešamu informāciju vieglajā valodā, lai plašākai sabiedrībai nodrošinātu iespēju uzzināt par ES fondu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kādu no dzimumiem, personām ar invaliditāti, reliģisko pārliecību, vecumu, rasi un etnisko izcelsmi vai seksuālo orientāciju (pieejams: https://www.lm.gov.lv/lv/media/18838/download (“Ieteikumi diskrimināciju un stereotipus mazinošai komunikācijai ar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tīmeklī ir piekļūstama cilvēkiem ar funkcionāliem traucējumiem, izmantojot vairākus sensoros (redze, dzirde, tauste) kanālus (skatīt VARAM vadlīnijas "Tīmekļvietņu un mobilo lietotņu piekļūstamība" (pieejams: https://www.varam.gov.lv/lv/wwwvaramgovlv/lv/pieklustamiba).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publisko iepirkumu rīkošanu un HP “Vienlīdzība, iekļaušana, nediskriminācija un pamattiesību ievērošana” finansējuma saņēmējs aicināts projektā īstenot sociāli atbildīgs iepirkumus, pērkot ētiski ražotus produktus un pakalpojumus un izmantojot publiskās iepirkumu procedūras, lai radītu darbvietas, pienācīgus darba apstākļus, sekmētu sociālo un profesionālo iekļautību, nodrošinātu piekļūstamību pakalpojuma sniegšanas vietai/videi/objektam/pasākuma norises vietai, kā arī veicinātu labākus darba nosacījumus cilvēkiem ar invaliditāti un nelabvēlīgākā situācijā esošiem cilvēkiem (pieejams: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var iekļaut arī citas vispārīgas darbības, kas izriet no projekta satura un paredz vienlīdzības, iekļaušanas, nediskriminācijas un pamattiesību ievērošanu un vienlīdz efektīvi nodrošina attiecīgo mērķu sasniegšanu.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25-TA-496</w:t>
    </w:r>
    <w:r>
      <w:br/>
    </w:r>
    <w:r w:rsidR="00000000" w:rsidRPr="00000000" w:rsidDel="00000000">
      <w:rPr>
        <w:rtl w:val="0"/>
      </w:rPr>
      <w:t xml:space="preserve">Izdrukāts 30.07.2026. 00.03 - 4.0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25-TA-496</w:t>
    </w:r>
    <w:r>
      <w:br/>
    </w:r>
    <w:r w:rsidR="00000000" w:rsidRPr="00000000" w:rsidDel="00000000">
      <w:rPr>
        <w:rtl w:val="0"/>
      </w:rPr>
      <w:t xml:space="preserve">Izdrukāts 30.07.2026. 00.03 - 4.0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anotācija_(ex_ante)_25-TA-496.docx</dc:title>
</cp:coreProperties>
</file>

<file path=docProps/custom.xml><?xml version="1.0" encoding="utf-8"?>
<Properties xmlns="http://schemas.openxmlformats.org/officeDocument/2006/custom-properties" xmlns:vt="http://schemas.openxmlformats.org/officeDocument/2006/docPropsVTypes"/>
</file>