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24. aprīļa noteikumos Nr. 279 "Noteikumi par izņēmumiem, kad nepiemēro Eiropas Parlamenta un Padomes 2006. gada 15. marta Regulu (EK) Nr. 561/2006, ar ko paredz dažu sociālās jomas tiesību aktu saskaņošanu saistībā ar autotransportu, groza Padomes Regulu (EEK) Nr. 3821/85 un Padomes Regulu (EK) Nr. 2135/98 un atceļ Padomes Regulu (EEK) Nr. 3820/85""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2007.gada 24. aprīļa noteikumos Nr.279 “Noteikumi par izņēmumiem, kad nepiemēro Eiropas Parlamenta un Padomes 2006.gada 15.marta Regulu (EK) Nr. 561/2006, ar ko paredz dažu sociālās jomas tiesību aktu saskaņošanu saistībā ar autotransportu, groza Padomes Regulu (EEK) Nr. 3821/85 un Padomes Regulu (EK) Nr. 2135/98 un atceļ Padomes Regulu (EEK) Nr. 3820/85” (turpmāk - noteikumu projekts) izstrādāti, lai izmantotu Eiropas Parlamenta un Padomes 2020. gada 15. jūlija Regulā (ES) 2020/1054,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(turpmāk – Regula (ES) 2020/1054) paredzēto iespēju nacionālajos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to iekšzemes pārvadājumu veidu sarakstu, uz kuriem neattiecina atsevišķas darba un atpūtas laika uzskaites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transportlīdzekļus, ar kuriem šos pārvadājumus veic, var neaprīkot ar transportlīdzekļa vadītāja darba un atpūtas laika uzskaites reģistrācijas kontrolierīci.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Regulā (ES) 2020/1054 paredzēto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to iekšzemes pārvadājumu veidu sarakstu, uz kuriem neattiecina atsevišķas darba un atpūtas laika uzskaites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transportlīdzekļus, ar kuriem šos pārvadājumus veic, var neaprīkot ar transportlīdzekļa vadītāja darba un atpūtas laika uzskaites reģistrācijas kontrolierīci.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31.jūlijā  Eiropas Savienības Oficiālajā Vēstnesī tika publicēta Regula (ES) 2020/1054, kuras 1.pantā ietverti grozījumi Eiropas Parlamenta un Padomes 2006.gada 15.marta Regulas (EK) Nr.561/2006, ar ko paredz dažu sociālās jomas tiesību aktu saskaņošanu saistībā ar autotransportu, groza Padomes Regulu (EEK) Nr.3821/85 un Padomes Regulu (EK) Nr.2135/98 un atceļ Padomes Regulu (EEK) Nr.3820/85 (turpmāk - Regula (EK) 561/2006) 13.panta 1.punktā, iekļaujot šādus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transportlīdzekļiem vai transportlīdzekļu kombinācijām, ar kuriem celtniecības uzņēmumam pārvadā būvtehniku ne vairāk kā 100 km rādiusā no uzņēmuma bāzes vietas, ar noteikumu, ka minētā transportlīdzekļa vadīšana nav transportlīdzekļa vadītāja pamatnodarbošanās;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transportlīdzekļiem, kurus izmanto gatavo betona maisījumu piegādei”, kā arī noteikts, ka no 2024.gada 31.decembra kontroles laikā jāuzrāda ar darba un atpūtas laika uzskaiti saistītā informācija par laikposmu, kas ietver vismaz kontroles dienu un iepriekšējās 56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dalībvalstis var izvēlēties, kurus no Regulas (EK) 561/2006 13.panta 1. punktā iekļautajiem izņēmumiem iekļaut nacionālajos normatīvajos aktos, nosakot, ka Regulas (EK) Nr. 561/2006  6., 7., 8. un 9.pantu nepiemēro un ar transportlīdzekļa vadītāja darba un atpūtas laika uzskaites reģistrācijas kontrolierīci transportlīdzekļus var neaprīkot, ja tiek veikts iekšzemes pārvadājums. Latvija pašlaik ir izvēlējusies attiecināt izņēmumu uz pārvadājumu veidiem, kas minēti Regulas (EK) Nr. 561/2006 13.panta 1.punkta “a”, “b”, “c”, “d”, “g”, “h”, “i”, “j”, “k”, “l”, “m”, “n”, “o”, “p”, “q” un “r”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1985.gada 20.decembra Regula (EEK) Nr. 3821/85 par reģistrācijas kontrol­ierīcēm, ko izmanto autotransportā,  ir atcelta un darba un atpūtas laika uzskaites reģistrācijas kontrolierīces prasības ietvertas Eiropas Parlamenta un Padomes 2014.gada 4.februāra Regulā (ES) Nr. 165/2014 par tahogrāfiem autotransportā, ar kuru atceļ Padomes Regulu (EEK) Nr. 3821/85 par reģistrācijas kontrolierīcēm, ko izmanto autotransportā, un groza Eiropas Parlamenta un Padomes Regulu (EK) Nr. 561/2006, ar ko paredz dažu sociālās jomas tiesību aktu saskaņošanu saistībā ar autotransportu (turpmāk - Regula (ES) 165/2014).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izmantotu Regulas (EK) Nr. 561/2006 13.panta 1.punktā paredzēto iespēju attiecināt atsevišķus darba un atpūtas laika uzskaites izņēmumus uz noteiktiem iekšzemes autopārvadājumu veidiem, kuriem ir operatīvs raksturs un nav ievērojamas ietekmes autopārvadājumu tirgu, nepieciešams šo pārvadājumu veidu sarakstu pārskatīt, jo nereti ar celtniecības darbiem saistītos autopārvadājumus nepieciešams veikt operatīvi, kā arī nepieciešams veicināt mazas tonnāžas kravu pārvadājumu nodrošināšanai nelielos attālumos izmantot transportlīdzekļus, kuri darbojas ar dabasgāzi vai sašķidrināto gāzi, vai elektrību.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papildināt esošo izņēmumu sarakstu ar šādiem Regulas (EK) Nr. 561/2006 13.panta 1.punktā ietvertajiem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transportlīdzekļiem, kurus izmanto, lai pārvadātu kravas līdz 50 kilometru rādiusā no vietas, kur bāzēts uzņēmums, kuri darbojas ar dabasgāzi vai sašķidrināto gāzi, vai elektrību, un kuru maksimālā pieļaujamā masa, ieskaitot piekabes vai puspiekabes, nepārsniedz 7,5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transportlīdzekļiem vai transportlīdzekļu kombinācijām, ar kuriem celtniecības uzņēmumam pārvadā būvtehniku ne vairāk kā 100 km rādiusā no uzņēmuma bāzes vietas, ar noteikumu, ka minētā transportlīdzekļa vadīšana nav transportlīdzekļa vadītāja pamatnodarbošanās;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transportlīdzekļiem, kurus izmanto gatavo betona maisījumu piegādei.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bāzes vietas nosacījumi attiecināmi arī uz f) un q) apakšpunktos minētajiem pārvadājumiem, kā arī attiecīgi precizēt 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atsauci uz spēkā esošo darba un atpūtas laika uzskaites reģistrācijas kontrolierīces prasības regulējošo Regulu (ES) 165/2014. Ietvert nosacījumu, ka no 2024.gada 31.decembra kontroles laikā jāuzrāda ar darba un atpūtas laika uzskaiti saistītā informācija par laikposmu, kas ietver vismaz kontroles dienu un iepriekšējās 56 dienas.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Autopārvadājumos nodarbinātie transportlīdzekļu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Autopārvadājumos nodarbinātajiem transportlīdzekļu vadītājiem, veicot noteikta veida iekšzemes pārvadājumus, būs jāaizpilda pārskats, kas tiks izmantots arī kā viens no darba laika uzskaites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uzņēmumi, kas veic izņēmumu uzskaitījumā ietvertos iekšzemes pārvadājumus. Šiem uzņēmumiem jāveic nodarbināto autovadītāju darba laika uzskaite, izmantojot gan pārskatu, gan ievērojot citas vispārējās darba tiesiskās attiecības regulējošās prasības, kā arī no 2024.gada 31.decembra jānodrošina ar darba un atpūtas laika uzskaiti saistītā informācija par laikposmu, kas ietver vismaz kontroles dienu un iepriekšējās 56 dienas.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32006R0561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15. marta Regula (EK) Nr. 561/2006, ar ko paredz dažu sociālās jomas tiesību aktu saskaņošanu saistībā ar autotransportu, groza Padomes Regulu (EEK) Nr. 3821/85 un Padomes Regulu (EK) Nr. 2135/98 un atceļ Padomes Regulu (EEK) Nr. 3820/85 [publicēta "Eiropas Savienības Oficiālajā Vēstnesī" L 102, 11.04.2006.]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32020R1054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15. jūlija Regula (ES) 2020/1054,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[publicēta "Eiropas Savienības Oficiālajā Vēstnesī" L 249, 31.07.2020.].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15. marta Regula (EK) Nr. 561/2006, ar ko paredz dažu sociālās jomas tiesību aktu saskaņošanu saistībā ar autotransportu, groza Padomes Regulu (EEK) Nr. 3821/85 un Padomes Regulu (EK) Nr. 2135/98 un atceļ Padomes Regulu (EEK) Nr. 3820/85 [publicēta "Eiropas Savienības Oficiālajā Vēstnesī" L 102, 11.04.2006.]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(EK) Nr. 561/2006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1.daļas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projekta- 1., 2. un 5.punkts (noteikumu 2.,4.punkts, pielikuma 5.kolonnas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dalībvalstis var izvēlēties, kurus no Regulas (EK) 561/2006 13.panta 1. punktā iekļautajiem izņēmumiem iekļaut nacionālajos normatīvajos aktos, nosakot, ka Regulas (EK) Nr. 561/2006  6., 7., 8. un 9.pantu nepiemēro un ar transportlīdzekļa vadītāja darba un atpūtas laika uzskaites reģistrācijas kontrolierīci transportlīdzekļus var neaprīkot, ja tiek veikts iekšzemes pārvadājums. Latvija pašlaik ir izvēlējusies attiecināt izņēmumu uz pārvadājumu veidiem, kas minēti Regulas (EK) Nr. 561/2006 13.panta 1.punkta “a”, “b”, “c”, “d”, “g”, “h”, “i”, “j”, “k”, “l”, “m”, “n”, “o”, “p”, “q” un “r” apakšpunktā.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15. jūlija Regula (ES) 2020/1054, ar ko Regulu (EK) Nr. 561/2006 groza attiecībā uz minimālajām prasībām par maksimālajiem transportlīdzekļa ikdienas un iknedēļas vadīšanas laikiem, minimālajiem pārtraukumiem un ikdienas un iknedēļas atpūtas laikposmiem un ar ko Regulu (ES) Nr. 165/2014 groza attiecībā uz pozicionēšanu ar tahogrāfu palīdzību
[publicēta "Eiropas Savienības Oficiālajā Vēstnesī" L 249, 31.07.2020.].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1., 2. un 5.punkts (noteikumu 2., 4.pants, pielikuma 5.kolonnas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3. punkts (noteikumu 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2020/1054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Grozījumu projekta 4.punkts (noteikumu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anotācija_(ex_ante)_22-TA-250.docx</dc:title>
</cp:coreProperties>
</file>

<file path=docProps/custom.xml><?xml version="1.0" encoding="utf-8"?>
<Properties xmlns="http://schemas.openxmlformats.org/officeDocument/2006/custom-properties" xmlns:vt="http://schemas.openxmlformats.org/officeDocument/2006/docPropsVTypes"/>
</file>