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Aizsardzības ministrijai uzņemties valsts budžeta ilgtermiņa saistības, lai nodrošinātu Latvijas iesaisti projektos un pasākumos Eiropas Komisijas tieši administrētajās programmās"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pamatojoties uz Eiropas Parlamenta un Padomes 2024. gada 19. decembra Regulu (ES) 2025/38, kas nosaka pasākumus, kuri stiprina solidaritāti un spējas Savienībā atklāt kiberdraudus un incidentus tiem sagatavoties un uz tiem reaģēt, un ar ko groza Regulu (ES) 2021/694 (turpmāk – Kibersolidaritātes akts), kā arī Latvijas kiberdrošības stratēģiju 2023.–2026. gadam. Rīkojuma projekts sagatavots, ņemot vērā arī Eiropas Komisijas (turpmāk – EK) un Eiropas Kiberdrošības kompetenču centra (turpmāk – ECCC) 2024. gada 4. jūlija uzsaukumu DIGITAL-ECCC-2024-DEPLOY-CYBER-07-SOCPLAT un projekta pieteikuma “Nordic-Baltic Cyber Consortium” (turpmāk – NBCC) pozitīvo novērtējumu. Rīkojuma projekta mērķis ir nodrošināt Latvijas dalību NBCC projektā un piešķirt valsts budžeta līdzfinansējumu Latvijas Universitātes Matemātikas un informātikas institūtam (turpmāk – LUMII) projekta īstenošanai laikposmā no 2026.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2025. gada 4. novembra sēdes protokollēmumu Nr. 25-TA-2193, kurā LUMII tika noteikts par "valsts kibercentru", kā arī 2026. gada 2. janvāra funkciju deleģēšanas līgumu starp Aizsardzības ministriju (turpmāk – AM) un LUMII, LUMII ir NBCC projekta partneris un īstenotājs no Latvijas puses, taču valsts budžeta līdzfinansējumu LUMII no programmas 80.00.00 “Nesadalītais finansējums Eiropas Savienības politiku instrumentu un pārējās ārvalstu finanšu palīdzības projektu un pasākumu īstenošanai” pieprasīs AM. LUMII ir tiesīga saņemt valsts budžeta līdzfinansējumu no 80.00.00 programmas saskaņā ar 2018. gada 17. jūlija MK noteikumu Nr. 421 "Kārtība, kādā veic gadskārtējā valsts budžeta likumā noteiktās apropriācijas izmaiņas" 24.8.punktu.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NBCC projekts paredz izveidot drošu un uzticamu reģionālās sadarbības platformu starp Baltijas un Ziemeļvalstīm – Latviju, Lietuvu, Igauniju, Somiju, Norvēģiju, Islandi un Dāniju. Projekta mērķis ir izveidot informācijas apmaiņas platformu kiberdraudu analīzei, attīstīt IT infrastruktūru datu glabāšanai un apstrādei, kā arī kopīgi iegādāties kiberdraudu izlūkdatu </w:t>
      </w:r>
      <w:r w:rsidR="00000000" w:rsidRPr="00000000" w:rsidDel="00000000">
        <w:rPr>
          <w:i w:val="1"/>
          <w:rtl w:val="0"/>
        </w:rPr>
        <w:t xml:space="preserve">(Cyber Threat Intelligence </w:t>
      </w:r>
      <w:r w:rsidR="00000000" w:rsidRPr="00000000" w:rsidDel="00000000">
        <w:rPr>
          <w:rtl w:val="0"/>
        </w:rPr>
        <w:t xml:space="preserve">– CTI) risinājumus, kas veicinās efektīvāku kiberdraudu analīzi un reakciju uz kiberincidentiem.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19. decembra Kibersolidaritātes aktu tiek izveidota Eiropas kiberdrošības trauksmes sistēma, lai veicinātu Eiropas Savienības (turpmāk – ES) spējas atklāt, analizēt un apstrādāt datus saistībā ar kiberdraudiem un incidentu novēršanu. Šī sistēma tiek veidota kā Eiropas mēroga kibercentru tīkls, kas sastāv no valstu un pārrobežu kibercentriem. Saskaņā ar Kibersolidaritātes akta 4. panta 1. punktu, ja dalībvalsts nolemj piedalīties Eiropas kiberdrošības trauksmes sistēmā, tā regulas nolūkiem norīko vai attiecīgā gadījumā izveido “valsts kibercentru”. “Valsts kibercentram” paredzēta būtiska loma Eiropas kiberdrošības trauksmes sistēmā, kuru finansēs saskaņā ar programmas “Digitālā Eiropa” konkrēto mērķi Nr. 3. “Kiberdrošība un uzticamība”. Proti, “valsts kibercentram” ir jābūt vienai vienībai, kas piesakās un darbojas  ECCC uzsaukumos, lai izveidotu vai paplašinātu valstu un pārrobežu drošības operāciju centrus (turpmāk – SOC). “Valsts kibercentrs”, iesaistoties Eiropas kiberdrošības trauksmes sistēmā, kas sastāv no valstu un pārrobežu SOC, veicinās kiberdraudu un kiberincidentu vākšanas, analīzes un novēršanas attīstību, izmantojot progresīvas tehnoloģijas, piemēram, mākslīgo intelektu vai CTI produktus.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un ECCC uzsaukums DIGITAL-ECCC-2024-DEPLOY-CYBER-07-SOCPLAT - "Uzaicinājums izteikt ieinteresētību, lai atlasītu vienības, kas nodrošina nepieciešamo aprīkojumu esošo pārrobežu SOC platformu/pārrobežu kibercentru paplašināšanai vai mitināšanai un jaunu SOC platformu/pārrobežu kibercentru darbībai" - paredz atbalstu izveidotajiem pārrobežu kibercentriem, kas sastāv no "valsts kibercentriem". Lai izveidotu reģionālo sadarbību, Baltijas un Ziemeļvalstis pieteicās uzsaukumam DIGITAL-ECCC-2024-DEPLOY-CYBER-07-SOCPLAT ar mērķi izveidot NBCC pārrobežu kibercentru. 2025. gada jūlijā NBCC projekta pieteikums tika apstiprināts no EK un ECCC puses. 2025. gada 12. decembrī tika parakstīts granta līgums (Project 101249704 — NBCC) par projekta īstenošanu. Projekta konsorciju kopā veido 7 organizācijas: Dānijā: Styrelsen For Samfundssikkerhed (SAMSIK); Norvēģijā: Norwegian National Security Authority (NSM) (NSM-NO); Igaunijā:  Riigi Infosusteemi Amet (RIA-EE), Somijā: Liikenne- Ja Viestintavirasto (TRAFICOM), Islandē: Utanrikisraduneytid (CERT-IS), Lietuvā: Nacionalinis Kibernetinio Saugumo Centras Prie Krasto Apsaugos Ministerijos (NCSC-LT) un Latvijā: Latvijas Universitātes Matemātikas un informātikas institūts(LUMII)Projekta pilnvarotais koordinators ir Dānijas SAMSIK. 2026. gadā paredzēta arī Zviedrijas iesaiste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 "valsts kibercentra", gan pārrobežu kibercentra darbības pamatā ir nepieciešama tehniska kompetence (informācijas/datu par kiberincidentiem un kiberdraudiem vākšana un analizēšana), lai nodrošinātu Latvijas iesaisti Eiropas trauksmes sistēmā un dalību NBCC projektā, LUMII tika virzīts kā projekta partneris un izpildītājs. Ar Ministru kabineta 2025. gada 4. novembra sēdes protokollēmumu Nr. 25-TA-2193 tika apstiprināta Latvijas iesaiste Eiropas kiberdrošības trauksmes sistēmā, un LUMII tika norīkots par "valsts kibercentru" Kibersolidaritātes akta 4. panta 1.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rezultātā plānots sniegt pienesumu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Uzlabot situācijas izpratni par notikumiem reģionālā kibertelpā: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Izveidojot informācijas pieprasījuma (</w:t>
      </w:r>
      <w:r w:rsidR="00000000" w:rsidRPr="00000000" w:rsidDel="00000000">
        <w:rPr>
          <w:i w:val="1"/>
          <w:rtl w:val="0"/>
        </w:rPr>
        <w:t xml:space="preserve">Request for </w:t>
      </w:r>
      <w:r w:rsidR="00000000" w:rsidRPr="00000000" w:rsidDel="00000000">
        <w:rPr>
          <w:i w:val="1"/>
          <w:rtl w:val="0"/>
        </w:rPr>
        <w:t xml:space="preserve">informatio</w:t>
      </w:r>
      <w:r w:rsidR="00000000" w:rsidRPr="00000000" w:rsidDel="00000000">
        <w:rPr>
          <w:rtl w:val="0"/>
        </w:rPr>
        <w:t xml:space="preserve">n – RFI) procedūru, lai katrs konsorcija dalībnieks varētu paātrināti atbildēt uz jautājumiem par noteiktu 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Koplietojot attiecīgu incidentu datus un CTI, izmantojot kopīgu informācijas koplietošanas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Saglabājot situācijas ainu par notikumiem kibertelpā plašākā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NBCC nav paredzēts kā diennakts operatīvs SOC, tiek plānots, ka tas spēs sagatavot pārskatus un sniegt noderīgu, pēc iespējas apsteidzošu informāciju par iespējamajiem kiberapdraudējumiem kibertelpā.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dziļāku ieskatu: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Izsekojot un ziņojot konsorcija dalībniekiem, kad ļaunprātīgs aktors uzsāk darbības vai kampaņas citā valstī, vai skar citu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Periodiski gatavojot analītiskus pārskatus ar reģionālu skatījumu, piemēram, par konkrētām nozarēm, aktoru, izmantotajām taktikām kiberuzbrukumos, vai tehnoloģijām. Analīzes darbu uzdevumus konsorcija dalībnieki uzdos NBCC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Atbalstot dalībvalstu Nacionālās Kiberincidentu novēršanas institūcijas (turpmāk – CSIRT) kiberdraudu atklāšanas spējas, piemēram, savlaicīgi izplatot automatizētus, uz kiberdraudu atklāšanas taktiku balstītus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Izmantojot mākslīgā intelekta/mašīnmācīšanās rīkus, lai uzlabotu analītiskās spējas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Uzlabot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Kopīgi vadīt seminārus un darbnīcas NBCC un valstu CSIRT darbiniekiem, lai izplatītu labo praksi un veicinātu kopīgu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Veidot uzticības kopienu ap NBCC, iesaistot arī konsorcija dalībvalstu akadēmiskās un komercorganizācijas.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ES situācijas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Dalīties ar informāciju par incidentiem ar citiem pārrobežu kibercentriem, ES tīkliem un iestādēm, piemēram, Eiropas Kiberkrīžu sadarbības organizācijas tīklu (turpmāk – CyCLONe) un CSIRT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Iniciēt ciešāku sadarbību ar citiem pārrobežu kibercentriem, lai uzlabotu kolektīvo situācijas izpratni par notikumiem kibertelpā visā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plānota 48 mēnešu garumā, divās fāzēs: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Pirmā fāze</w:t>
      </w:r>
      <w:r w:rsidR="00000000" w:rsidRPr="00000000" w:rsidDel="00000000">
        <w:rPr>
          <w:rtl w:val="0"/>
        </w:rPr>
        <w:t xml:space="preserve">: 2026. gada laikā tiek īstenota vienota iepirkuma procedūra tehniskās sadarbības nodrošinājuma un CTI risinājumu iegādei kopā ar ECCC. Vienotā iepirkuma kopējā plānotā summa ir 11 926 300 eiro, ECCC nodrošina 75% no vienotā iepirkuma finansējuma apjoma. Dalībvalstu ieguldījums ir 2 981 575 eiro.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kā projekta konsorcija dalībvalsts līdzfinansējums ir plānots 425 939.29 eiro apmērā, kas projekta īstenošanas laikā sadalās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12"/>
        <w:gridCol w:w="4628"/>
        <w:tblGridChange w:id="0">
          <w:tblGrid>
            <w:gridCol w:w="4712"/>
            <w:gridCol w:w="462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līdzfinansējuma apjoms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425 939.29 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Otrā fāze</w:t>
      </w:r>
      <w:r w:rsidR="00000000" w:rsidRPr="00000000" w:rsidDel="00000000">
        <w:rPr>
          <w:rtl w:val="0"/>
        </w:rPr>
        <w:t xml:space="preserve">: no 2027. līdz 2029. gadam plānota projekta īstenošana un definēto mērķu sasniegšana ciešākai sadarbības Baltijas un Ziemeļvalstu reģionā, izmantojot vienotajā iepirkumā iegādāto infrastruktūru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kopējais finansējums: 2 968 629.40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Piešķirtais ES finansējums (50%): 1 484 314.71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LUMII kā projekta partnera finansējums: 271 352 eiro, no tiem 50% ES finansējums: 135 676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kā projekta konsorcija dalībvalsts līdzfinansējums ir plānots 135 676 eiro, kas projekta īstenošanas laikā sadalās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40"/>
        <w:gridCol w:w="2297"/>
        <w:gridCol w:w="2247"/>
        <w:gridCol w:w="2155"/>
        <w:tblGridChange w:id="0">
          <w:tblGrid>
            <w:gridCol w:w="2340"/>
            <w:gridCol w:w="2297"/>
            <w:gridCol w:w="2247"/>
            <w:gridCol w:w="215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līdzfinansējuma apjoms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45 225.33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45 225.33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45 225.33</w:t>
            </w:r>
          </w:p>
        </w:tc>
      </w:tr>
    </w:tbl>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LUMII Eiropas Parlamenta un Padomes 2022. gada 14. decembra Direktīvas (ES) 2022/2555, ar ko paredz pasākumus nolūkā panākt vienādi augstu kiberdrošības līmeni visā Savienībā un ar ko groza Regulu (ES) Nr. 910/2014 un Direktīvu (ES) 2018/1972 un atceļ Direktīvu (ES) 2016/1148. (NIS2 direktīva) izpratnē ir CSIRT un līdzdarbojas ES CSIRT sadarbības tīklā, tajā nav pārstāvēta ne Islande, ne Norvēģija, kas ir nozīmīgas reģiona partnervalstis, un šīs valstis ir pilntiesīgi NBCC projekta dalībnieki. Papildu tam, ES dalībvalstu vidū ir dažāda izpratne par Krievijas kā agresorvalsts darbībām kibertelpā, kas savukārt neveicina vienlīdzīgu uzticēšanos starp visām ES dalībvalstīm, kas darbojas CSIRT tīklā. ES atbalsta programma “Digitālā Eiropa" paredz atbalstīt reģionālu SOC izveidi, piešķirot līdz 50% līdzfinansējumu pārrobežu kibercentru projektu konsorcijiem un 75% vienoto iepirkumu īstenošanai (tehniskā nodrošinājuma un risinājumu iegādei) kopā ar ECCC. Tāpat būtiski uzsvērt, ka CTI iegāde ir dārga un, iegādājoties šo spēju kopīgi ar citām valstīm, būtiski samazinās izmaksas. 2025. gada jūlijā NBCC projekta pieteikums tika apstiprināts no EK un ECCC puses un 2025. gada 12. decembrī tika parakstīts granta līgums par projekta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novērstu, atklātu un pārvaldītu kiberdraudus, kā arī nodrošinātu ātru atkopšanos pēc kiberincidentiem, ir nepieciešams ievērojami stiprināt zināšanas par kritiskajiem aktīviem un infrastruktūru, kas atrodas ES teritorijā. Tas ietver ne tikai šo infrastruktūru ģeogrāfisko atrašanās vietu, bet arī to savstarpējo saistību un iespējamo domino efektu gadījumos, kad kiberuzbrukumi skar vairākas sistēmas vai valstis vienlaikus. Šādā kontekstā īpaši svarīga ir proaktīva pieeja kiberdraudu identificēšanai, analīzei un novēršanai, kas balstās modernās kiberdraudu atklāšanas tehnoloģijās un koordinētā informācijas apmaiņā starp valstīm. Eiropas kiberdrošības trauksmes sistēmas izveide, kas paredzēta Kibersolidaritātes aktā, paredz vairāku savstarpēji vienotu pārrobežu kibercentru izveidi un funkcionēšanu. Saskaņā ar Kibersolidaritātes akta 5. pantu šie centri tiek veidoti kā daudzvalstu platformas, kurās sadarbojas vismaz trīs dalībvalstu "valstu kibercentri". Šādu centru galvenais mērķis ir koordinēt kiberdraudu uzraudzību, atklāšanu un analīzi, kā arī veicināt savlaicīgu incidentu novēršanu un kvalitatīvu kiberdraudu izlūkdatu sagatavošanu. To darbība balstās uz progresīvu datu vākšanu, analīzes rīkiem un drošu informācijas apmaiņu, kas var ietvert arī anonimizētus tehniskos datus, sensoru informāciju un telemetriju.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līmenī šāda sistēma ir būtiska, jo tā nodrošina iespēju valsts kiberdrošības struktūrām kļūt par integrētu daļu no plašākas Eiropas kiberdrošības ekosistēmas. Valsts kibercentrs šajā modelī darbojas kā centrālais koordinācijas punkts, kas apkopo informāciju no publiskā un privātā sektora, analizē kiberdraudus un nodrošina informācijas plūsmu starp nacionālajām institūcijām un pārrobežu sadarbības struktūrām. Tas ļauj agrīni identificēt potenciālos kiberdraudus un būtiski uzlabot situācijas apzināšanos gan valsts, gan Eiropas līmenī. Apkopojot un analizējot datus no dažādiem avotiem, pārrobežu kibercentri var nodrošināt agrīnus brīdinājumus par potenciāliem incidentiem un sniegt operatīvu informāciju krīžu pārvaldības struktūrām. Tas ļauj savlaicīgi mobilizēt resursus un koordinēt rīcību starp dalībvalstīm. Tādējādi pārrobežu kibercentru ieviešana nacionālā līmenī ir būtisks solis, lai stiprinātu valsts kiberdrošības spējas un vienlaikus veicinātu ES  kopējo kibernoturību. Šī pieeja nodrošina modernu tehnoloģiju izmantošanu, efektīvu datu analīzi un ciešu starpvalstu sadarbību, kas ir būtiska, lai savlaicīgi identificētu un novērstu arvien sarežģītākos kiberdraudus digitālajā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rīkojuma projekts paredz ilgtermiņa saistību uzņemšanos LUMII, un tā kā projekta īstenošana sniedz tiešu pienesumu reģionālās sadarbības veicināšanā un kiberspēju stiprināšanu nacionālā līmenī, tad projekts ir būtisks starptautiskās sadarbības veicināšanā un kibertelpas attīstībā, kas ir viena no prioritātēm Latvijas kiberdrošības stratēģijā 2023. - 2026. gadam. Lai realizētu projektu un lai Latvija kopā ar partnervalstīm varētu iegādāties CTI, ir nepieciešama finansējuma (nacionālā līdzfinansējuma, priekšfinansējuma un netiešo izmaksu finansējuma segšanai) pārdale no 74. resora "Gadskārtējā valsts budžeta izpildes procesā pārdalāmais finansējums" programmas 80.00.00 "Nesadalītais finansējums Eiropas Savienības politiku instrumentu un pārējās ārvalstu finanšu palīdzības projektu un pasākumu īstenošanai" (turpmāk - 80.00.00 programma) uz AM un FM budžeta apakšprogrammām 70.11.00 "ES programmas "Digitālā Eiropa" projektu un pasākumu īstenošana", kuras paredzētas NBCC projekta finansēšanai. Šādu iespēju paredz 2018. gada 17. jūlija MK noteikumi Nr. 421 "Kārtība, kādā veic gadskārtējā valsts budžeta likumā noteiktās apropriācijas izmaiņas" un Vides aizsardzības un reģionālās attīstības ministrijas informatīvais ziņojums "Par Eiropas Parlamenta un Padomes regulas (ES) 2021/694, ar ko izveido programmu "Digitālā Eiropa" un atceļ lēmumu (ES) 2015/2240, koordinēšanu un nacionālo kontaktpunktu", kā arī Eiropas Kiberdrošības kompetenču centra 2021.–2027. gada plānošanas periodā pārvaldīto grantu vadības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LUMII ir tiesīga saņemt valsts budžeta līdzfinansējumu no 80.00.00 programmas saskaņā ar 2018. gada 17. jūlija MK noteikumu Nr. 421 "Kārtība, kādā veic gadskārtējā valsts budžeta likumā noteiktās apropriācijas izmaiņas" 24.8.punktu. Pilnvērtīga iesaiste NBCC projektā ļaus veidot ciešāku sadarbību visā Baltijas un Ziemeļvalstu reģionā, jo projekta konsorcijā iesaistītas ir visas reģiona valstis. Ņemot vērā līdzīgos kiberapdraudējumus valstu kibertelpās, informācijas apmaiņā tiks sasniegts augstāks uzticēšanās līmenis, tā spēcinot sadarbību un potenciālu kopējo kiberdrošības uzlabošanos kā Latvijā, tā visā reģionā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LUMII tiek deleģēta valsts funkcijas izpilde, finansējums  nav paredzēt saimnieciskās darbībās veikšanai un komercdarbības atbalstam. Līdz ar to secināms, ka projektā paredzētais finansējums nav kvalificējams kā komercdarbības atbalsts Komercdarbības atbalsta kontroles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projekts sniegs tiešu un netiešu labumu ikvienam iedzīvotājam sabiedrībā, kurā tas tiks īstenots, jo tas stiprinās kiberdrošību, mazinās riskus un uzlabos aizsardzību pret kiberapdraudējumiem, kas var ietekmēt cilvēku ikdienas dzīvi.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Labāka situācijas izpratne par notikumiem kibertelpā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izveidot efektīvu informācijas apmaiņas sistēmu starp iesaistītajām institūcijām. Tas nozīmē, ka uz jautājumiem par jauniem kiberdraudiem varēs atbildēt ātrāk un precīzāk. Fiziskām personām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savlaicīgāku brīdināšanu par krāpnieciskām kampaņām, pikšķerēšanas e-pastiem vai citiem uzbrukumiem;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mazāku risku zaudēt personīgos datus vai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drošāku digitālo vidi ikdienas pakalpojumu izmantošanai (internetbanka, e-veselība, valsts e-pakalpojumi).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Koplietojot incidentu datus un analizējot notikumus reģionālā mērogā, tiks veidota kopēja izpratne par kiberapdraudējumiem. Lai gan projekts nav paredzēts kā diennakts SOC, tas sagatavos pārskatus un apsteidzošu informāciju par iespējamiem riskiem. Tas palīdzēs atbildīgajām institūcijām laikus veikt preventīvus pasākumus, tādējādi pasargājot sabiedrību no plašākiem kiberincidentiem.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Dziļāka analīze un savlaicīga reaģēšana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nodrošinās pastāvīgu kiberdraudu izsekošanu un analīzi, tostarp, gadījumos, kad kiberuzbrucēji maina mērķus vai darbības teritoriju.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agrāku brīdinājumu par iespējamiem uzbrukumiem konkrētām nozarēm (piemēram, veselības aprūpei, izglītībai vai enerģētikai), no kurām ir atkarīga sabiedrības labklājība;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precīzākus un regulārus analītiskus pārskatus par aktuālajiem kiberdraudiem un izmantotajām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uzlabotu valstu CSIRT spēju atklāt kiberdraudus agrīnā stadijā, izmantojot automatizētus paziņojumus un mūsdienīgas analīzes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Mākslīgā intelekta un mašīnmācīšanās rīku izmantošana ļaus ātrāk identificēt aizdomīgas darbības un novērst incidentus, pirms tie rada būtisku kaitējumu. Tas samazinās gan finansiālos zaudējumus, gan reputācijas riskus, kas netieši ietekmē arī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Zināšanu un prasmju stiprināšana sabiedrības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organizēti semināri un darbnīcas, lai izplatītu labo praksi un stiprinātu speciālistu kompetenci. Spēcīgāki un zinošāki kiberdrošības profesionāļi nozīmē drošāku infrastruktūru, uz kuru balstās iedzīvotāju ikdiena. Veidojot uzticības kopienu un iesaistot arī akadēmiskās un komercorganizācijas, tiks veicināta sadarbība un inovācijas kiberdrošības jomā. Tas ilgtermiņā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drošākus digitālos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lielāku sabiedrības informētību par kiberdrošību;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noturīgāku un uzticamāku digitālo vidi visiem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projekts veidos drošāku, stabilāku un uzticamāku digitālo telpu, kurā fiziskas personas varēs droši strādāt, mācīties, sazināties un izmantot tiešsaistes pakalpojumus, ar mazāku risku kļūt par kiberincidentu upuriem.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projekts sniegs būtisku pienesumu visām tautsaimniecības nozarēm, jo tas stiprinās kopējo kiberdrošības ekosistēmu, uzlabos informācijas apriti un paaugstinās spēju savlaicīgi novērst kiberapdraudējumus, kas var ietekmēt uzņēmumu darbību, pakalpojumu nepārtrauktību un ekonomisko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Uzlabota situācijas izpratne reģionālā kibertelpā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strukturētu informācijas pieprasījuma (RFI) procedūru un nodrošinot ātru informācijas apmaiņu starp iesaistītajām pusēm, tiks paātrināta reakcija uz aktuālajiem kiberdraudiem. Tas nozīmē, ka dažādu nozaru uzņēmumi – finanšu, enerģētikas, transporta, veselības aprūpes, ražošanas, IT un citi – savlaicīgi saņems informāciju par riskiem, kas var ietekmēt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Incidentu datu un kiberdraudu izlūkošanas (CTI) koplietošana, izmantojot vienotu platformu, ļaus: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agrāk identificēt tendences un uzbrukumu modeļus;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 līdzīgu incidentu atkārtošanos citās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dīkstāves, finanšu zaudējumu un reputācijas risku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kopējo situācijas ainu par notikumiem kibertelpā reģionālā mērogā un sagatavojot apsteidzošus pārskatus par iespējamiem kiberapdraudējumiem, tiks stiprināta uzņēmumu un organizāciju noturība pret plaša mēroga kiberincidentiem.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Dziļāka analīze un efektīvāka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nodrošinās sistemātisku kiberdraudu izsekošanu un analīzi, tostarp situācijās, kad ļaunprātīgi aktori maina mērķus un sāk vērsties pret citu valsti vai nozari. Tas ļaus uzņēmumiem savlaicīgi pielāgot drošības pasākumus un mazināt riskus. Regulāri analītiskie pārskati ar reģionālu skatījumu – par konkrētām nozarēm, kiberdraudu aktoriem, izmantotajām taktikām un tehnoloģijām – sniegs uzņēmumu vadībai un drošības speciālistiem stratēģisku informāciju lēmumu pieņemšanai. Tas sekmēs: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efektīvāku investīciju plānošanu kiberdrošībā;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labāku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konkurētspējas stiprināšanu starptautiskā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valstu CSIRT kiberdraudu atklāšanas spējām, tostarp automatizētu ziņojumu izplatīšana, veicinās agrīnu incidentu identificēšanu kritiskajās un citās nozarēs. Mākslīgā intelekta un mašīnmācīšanās rīku izmantošana paaugstinās analītikas kvalitāti un ātrumu, ļaujot efektīvāk aizsargāt gan lielus uzņēmumus, gan mazus un vidējus uzņēmumus.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Zināšanu, kompetenču un sadarbības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Kopīgi organizēti semināri un darbnīcas veicinās labās prakses izplatīšanu un profesionālo kompetenču attīstību visās nozarēs. Tas nozīmē, ka uzņēmumu drošības komandas būs labāk sagatavotas mūsdienu kiberdraudiem un spēs efektīvāk sadarboties starpnozaru līmenī. Uzticības kopienas veidošana, iesaistot akadēmiskās un komercorganizācijas, radīs platformu inovācijām un pētniecībai kiberdrošības jomā. Tas veicinās jaunu tehnoloģiju un pakalpojumu attīstību, radīs pievienoto vērtību tautsaimniecībai un stiprinās valsts reputāciju kā drošu un uzticamu digitālo vidi biznesam.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projekts veicinās stabilāku, noturīgāku un konkurētspējīgāku tautsaimniecību, samazinot kiberincidentu radītos zaudējumus un nodrošinot drošu pamatu digitālajai attīstībai visās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vai uzlabotu kiberdrošības risinājumu ieviešana uzlabos konkurētspēju tajās nozarēs, kurās svarīga kiberdrošība, jo īpašu privātpersonu apkalpošanā un piegādes ķēžu drošības nodrošināšanā (personas datu apstrāde, droši piegādes pakalpojumi u.tml. elementi). Covid-19 pandēmija, Krievijas īstenotais pilna mēroga karš Ukrainā, kā arī pastāvīgi identificētās ārvalstu atbalstītu grupējumu aktivitātes Latvijas kibertelpā pierāda, ka svarīgi veidot drošu un patstāvīgu tehnoloģiju pieejamību, nepārtraukti, rūpējoties un uzlabojot kopējo kiberdrošības situāciju valstī.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90 450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gada laikā tiek īstenota vienota iepirkuma procedūra tehniskā sadarbības nodrošinājuma un CTI risinājumu iegādei kopā ar ECCC. Vienotā iepirkuma kopējā plānotā summa ir 11 926 300 eiro, ECCC nodrošina 75% no vienotā iepirkuma finansējuma apjoma. Dalībvalstu ieguldījums ir 2 981 575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kā projekta konsorcija dalībvalsts līdzfinansējums ir plānots 425 939.29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2027. līdz 2029. gadam plānota projekta īstenošana un definēto mērķu sasniegšana ciešākai sadarbības Baltijas un Ziemeļvalstu reģionā, izmantojot vienotajā iepirkumā iegādāto infrastruktūru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kopējais finansējums: 2 968 629.40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Piešķirtais ES finansējums (50%): 1 484 314.71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LUMII kā projekta partnera finansējums: 271 352 eiro, no tiem 50% ES finansējums: 135 676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kā projekta konsorcija dalībvalsts līdzfinansējums ir plānots 135 676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Katrs konsorcija dalībnieks ieguldīs vienādu daļu NBCC darbībai projekta periodā. Šo līdzekļu pārskaitīšanai tiek piedāvāta šāda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Katrs konsorcija dalībnieks katra projekta perioda gada sākumā pārskaita projekta koordinatoram (Dānijai) 1/3 no sava kopējā ieguldījuma darbības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Katrs konsorcija dalībnieks ik pēc pusgada pieprasīs koordinatoram kompensāciju no kopējā fonda par attiecīgajām izmaksām, kas tiem radušās. Šie kompensācijas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pieprasījumi nevar pārsniegt kopējo finansējumu, kas piešķirts konsorcija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dalībniekiem katrā kategorijā, un tie nevar ietvert finansējumu iniciatīvām, uz kurām neattiecas granta nolīgums.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Koordinators nodrošinās šīs atmaksas pēc pienācīgas dokumentācijas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nepieciešamību nodrošināt priekšfinansējumu un līdzfinansējumu, lai LUMII varētu uzsākt dalību projektā, kopējais nepieciešamais finansējuma apjoms periodā no 2027. gada līdz 2029. gadam ir 271 352 eiro. Attiecīgi nepieciešamais līdzfinansējums katrā attiecīgā perioda gadā ir 90 450 eiro. AM pēc projekta noslēguma nodrošinās līdzekļu ieskaitīšanu valsts pamatbudžeta ieņēmumos, lai valsts budžetā atmaksātu saņemto un izlietoto valsts budžeta priekšfinansējumu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sasaiste ar Eiropas Parlamenta un Padomes 2024. gada 19. decembra Regulu (ES) 2025/38, kas nosaka pasākumus, kuri stiprina solidaritāti un spējas Savienībā atklāt kiberdraudus un incidentus, tiem sagatavoties un uz tiem reaģēt, un ar ko groza Regulu (ES) 2021/694 ir izklāstīta Ministru kabineta 2025. gada 4. novembra informatīvajā ziņojumā un sēdes protokollēmumā Nr. 25-TA-2193.</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Matemātikas un informātikas institūts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26-TA-196</w:t>
    </w:r>
    <w:r>
      <w:br/>
    </w:r>
    <w:r w:rsidR="00000000" w:rsidRPr="00000000" w:rsidDel="00000000">
      <w:rPr>
        <w:rtl w:val="0"/>
      </w:rPr>
      <w:t xml:space="preserve">Izdrukāts 29.07.2026. 23.38 - 2.0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26-TA-196</w:t>
    </w:r>
    <w:r>
      <w:br/>
    </w:r>
    <w:r w:rsidR="00000000" w:rsidRPr="00000000" w:rsidDel="00000000">
      <w:rPr>
        <w:rtl w:val="0"/>
      </w:rPr>
      <w:t xml:space="preserve">Izdrukāts 29.07.2026. 23.38 - 2.0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anotācija_(ex_ante)_26-TA-196.docx</dc:title>
</cp:coreProperties>
</file>

<file path=docProps/custom.xml><?xml version="1.0" encoding="utf-8"?>
<Properties xmlns="http://schemas.openxmlformats.org/officeDocument/2006/custom-properties" xmlns:vt="http://schemas.openxmlformats.org/officeDocument/2006/docPropsVTypes"/>
</file>