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"Noteikumi par valsts un Eiropas Savienības atbalsta piešķiršanu pasākumā "Kompensācijas zivsaimniecībā ārkārtas gadījumos""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Ministrijas / iestādes iniciatīva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noteikumu projekts "Noteikumi par valsts un Eiropas Savienības atbalsta piešķiršanu pasākumā "Kompensācijas zivsaimniecībā ārkārtas gadījumos"" (turpmāk – noteikumu projekts) ir sagatavots, pamatojoties uz Lauksaimniecības un lauku attīstības likuma 5. panta ceturto daļu, kā arī saskaņā ar</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Eiropas Parlamenta un Padomes 2021. gada 7. jūlija Regulu (ES) 2021/1139, ar ko izveido Eiropas Jūrlietu, zvejniecības un akvakultūras fondu un groza Regulu (ES) 2017/1004 (turpmāk – regula 2021/1139);</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Eiropas Parlamenta un Padomes 2021. gada 24. jūnija Regulu (ES) 2021/1060, ar ko paredz kopīgus noteikumus par Eiropas Reģionālās attīstības fondu, Eiropas Sociālo fondu Plus, Kohēzijas fondu, Taisnīgas pārkārtošanās fondu un Eiropas Jūrlietu, zvejniecības un akvakultūras fondu un finanšu noteikumus attiecībā uz tiem un uz Patvēruma, migrācijas un integrācijas fondu, Iekšējās drošības fondu un Finansiāla atbalsta instrumentu robežu pārvaldībai un vīzu politikai (turpmāk – regula 2021/1060);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Komisijas 2022. gada 19. janvāra Īstenošanas regulu (ES) 2022/79, ar ko nosaka Eiropas Parlamenta un Padomes Regulas (ES) 2021/1139 piemērošanas noteikumus attiecībā uz darbības līmeņa īstenošanas datu reģistrēšanu, nosūtīšanu un izklāstu (turpmāk – regula 2022/79).</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Paredzēt atbalstu papildu izmaksu kompensēšanai par degvielas cenas sadārdzinājumu zvejas kuģu īpašniekiem par Eiropas Savienībā reģistrētiem zvejas kuģiem, ar kuriem ir zvejots Baltijas jūras un Rīgas līča ūdeņos.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Vispārējā kārtība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regulas 2021/1139 26. panta 2. punktu pēc ārkārtas notikumiem, kas rada būtiskus tirgus traucējumus, atbalsts var attiekties uz kompensāciju par papildu izmaksām. Ar Komisijas 2026. gada 16. aprīļa Īstenošanas lēmumu (ES) 2026/889 situācija, kas Tuvajos Austrumos sākās 2026. gada 28. februārī, atzīta par ārkārtas notikumu, kas rada būtiskus tirgus traucējumus.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Pamatojoties uz Zivsaimniecības konsultatīvās padomes 2026. gada 4. jūnija sēdē atbalstītajiem Zemkopības ministrijas ierosinātajiem priekšlikumiem, kā arī ievērojot Programmas zivsaimniecības attīstībai 2021.–2027. gadam uzraudzības komitejas 2026. gada 30. jūnija lēmumu Nr. 2.3-17e/1/L/UK/2026, šā gada 2. jūlijā Eiropas Komisijai tika nosūtīti grozījumi Programmā zivsaimniecības attīstībai 2021.-2027.gadam (turpmāk – PZA). Ar šiem grozījumiem PZA finanšu sadalījumā piedalīts papildu atbalsts pasākuma "Kompensācijas zivsaimniecībā ārkārtas gadījumos" īstenošanai, lai varētu kompensēt degvielas cenu kraso kāpumu.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nosaka atbalsta saņemšanas nosacījumus, pieteikšanās kārtību un iesniedzamos dokumentus pasākumā "Kompensācijas zivsaimniecībā ārkārtas gadījumos".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Spēkā esošie Ministru kabineta 2022. gada 14. jūlija noteikumi Nr. 445 "Noteikumi par valsts un Eiropas Savienības atbalsta piešķiršanu pasākumā "Kompensācijas zivsaimniecībā ārkārtas gadījumos"" (turpmāk – noteikumi Nr. 445) tika sagatavoti, pamatojoties uz Komisijas 2022. gada 25. marta Īstenošanas lēmumu (ES) 2022/500, ar kuru Krievijas militārā agresija pret Ukrainu noteikta par ārkārtas notikumu, kas rada būtiskus tirgus traucējumus. Tā kā ar noteikumu projektu jāizdara grozījumi gandrīz visos noteikumu Nr. 445 spēkā esošajos punktos, ir sagatavoti jauni noteikumi, paredzot to, ka līdz ar to spēkā stāšanos spēku zaudē noteikumi Nr. 445.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Tāpat kā iepriekšējā krīzes situācijā 2022.gadā, arī patlaban dīzeļdegvielas sadārdzinājuma kompensācija būs pieejama tikai zvejniecības komersantiem, t. i., uz atbalstu varēs pretendēt zvejas kuģu īpašnieks. Savukārt cita veida kompensācija, piemēram, par izejvielām un neiegūtajiem ieņēmumiem, par kuriem iepriekšējās krīzes laikā 2022. gadā bija paredzēts atbalsts akvakultūras uzņēmumiem un zvejas produktu apstrādes uzņēmumiem, šajā noteikumu projektā  nav paredzēta, jo nav konstatēta nepieciešamība pēc šāda atbalsta.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noteikumu 13. punktā dotā formula tiek saglabāta nemainīga kā 2022. gada krīzes situācijā. Koeficients 0,5 tiek piemērots kompensācijas piemērošanai 50 % apmērā.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Savukārt 15. punktā uz piekrastes zvejniekiem attiecināmajā formulā kompensācija tiek aprēķināta, ņemot vērā konkrētajā ceturksnī atbilstošā zvejas kuģa zvejas dienu skaitu saskaņā ar valsts informācijas sistēmas "Latvijas Zivsaimniecības integrētā kontroles un informācijas sistēma" datiem, bet koeficients 5,26 ir aprēķināts pēc Centrālās statistikas pārvaldes un Pārtikas drošības, dzīvnieku veselības un vides zinātniskā institūta BIOR datiem par zvejas dienā vidēji patērēto degvielu.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2.1. Sabiedrības grupas, kuras tiesiskais regulējums ietekmē, vai varētu ietekmēt</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Fiziskās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Juridiskās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Zvejas kuģu īpašnieki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Projektā ietvertais tiesiskais regulējums attieksies uz atbalsta pretendentiem – minētajām juridiskajām personām. Minētās juridiskās personas tiesiskais regulējums ietekmēs pozitīvi, jo tiks sniegts atbalsts to degvielas izdevumu kompensēšanai, ievērojot ārkārtas notikumu, kas atzīts ar Komisijas 2026. gada 16. aprīļa Īstenošanas lēmumu (ES) 2026/889, proti, situāciju, kas Tuvajos Austrumos sākās 2026. gada 28. februārī un rada būtiskus tirgus traucējumus. Minētās juridiskās personas var brīvprātīgi izlemt, vai tās vēlas pieteikties Lauku atbalsta dienestā atbalsta saņemšanai.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 Tiesiskā regulējuma ietekme uz tautsaimniecību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2.3. Administratīvo izmaksu novērtējums juridiskām personām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1205"/>
        <w:gridCol w:w="1205"/>
        <w:gridCol w:w="1205"/>
        <w:gridCol w:w="1205"/>
        <w:gridCol w:w="1205"/>
        <w:gridCol w:w="1205"/>
        <w:gridCol w:w="1206"/>
        <w:gridCol w:w="1206"/>
        <w:tblGridChange w:id="0">
          <w:tblGrid>
            <w:gridCol w:w="1205"/>
            <w:gridCol w:w="1205"/>
            <w:gridCol w:w="1205"/>
            <w:gridCol w:w="1205"/>
            <w:gridCol w:w="1205"/>
            <w:gridCol w:w="1205"/>
            <w:gridCol w:w="1206"/>
            <w:gridCol w:w="1206"/>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Sabiedrības grupa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Palielinās/samazinās</w:t>
            </w:r>
          </w:p>
        </w:tc>
        <w:tc>
          <w:tcPr>
            <w:shd w:fill="ffffff"/>
            <w:vAlign w:val="center"/>
            <w:noWrap w:val="true"/>
            <w:gridSpan w:val="1"/>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Stundas samaksas likme - </w:t>
            </w:r>
            <w:r w:rsidR="00000000" w:rsidRPr="00000000" w:rsidDel="00000000">
              <w:rPr>
                <w:sz w:val="24"/>
                <w:b w:val="1"/>
                <w:i w:val="1"/>
                <w:rtl w:val="0"/>
              </w:rPr>
              <w:t xml:space="preserve">euro</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Laika patēriņš uz vienību - stundās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Subjektu skaits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Cik bieži - reizes gadā</w:t>
            </w:r>
          </w:p>
        </w:tc>
        <w:tc>
          <w:tcPr>
            <w:shd w:fill="ffffff"/>
            <w:vAlign w:val="center"/>
            <w:noWrap w:val="true"/>
            <w:gridSpan w:val="1"/>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Administratīvās izmaksas - </w:t>
            </w:r>
            <w:r w:rsidR="00000000" w:rsidRPr="00000000" w:rsidDel="00000000">
              <w:rPr>
                <w:sz w:val="24"/>
                <w:b w:val="1"/>
                <w:i w:val="1"/>
                <w:rtl w:val="0"/>
              </w:rPr>
              <w:t xml:space="preserve">euro</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Aprēķinu skaidrojums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Zvejas kuģu īpašnieki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palielinās</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Vērtības nozīme: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16,71</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Vienas stundas darbaspēka izmaksas 2025. gadā darbības veidam   (NACE 2. red. A03 Zivsaimniecība)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4,00</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Projekta iesnieguma aizpildīšanai, vajadzīgās informācijas iegūšanai, dokumentu pievienošanai un iesnieguma iesniegšanai elektroniski vidēji nepieciešamais laiks ir 4 stundas (laika patēriņa pamatā ir citos līdzīgos atbalsta pasākumos noteiktais lielums).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43</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Subjektu skaits aprēķināts, ņemot vērā 2022. gadā pasākuma "Kompensācijas zivsaimniecībā ārkārtas gadījumos" trīs projektu iesniegumu pieņemšanas kārtu datus: dalot kopējo skaitu ar 3 un attiecīgi iegūstot vidējo subjektu skaitu vienai kārtai (datu avots ir Lauku atbalsta dienests).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1,0</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Pieņemot, ka tiek izsludināta viena kārta pēc noteikumu projekta stāšanās spēkā.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2 874,12</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Iesniedzamie dokumenti ir noteikti noteikumu projekta 16. punktā.
Par biežumu (cik reižu gadā): pēc noteikumu projekta stāšanās spēkā paredzēts izsludināt vienu projektu iesniegumu pieņemšanas kārtu par periodu, kas ietver martu un otro ceturksni. Pēc tam šogad, iespējams, tiks izsludinātas vēl divas kārtas (t. i., par 3. un 4. ceturksni), ja dīzeļdegvielas sadārdzinājuma vidējā vērtība kādā no minētajiem ceturkšņiem pārsniegs 10 % (atbilstoši noteikumu projekta 9.punktam). Tādējādi pašlaik nav iespējams prognozēt, vai šogad būs tikai viena vai vairākas projektu iesniegumu pieņemšanas kārtas, un šajā aprēķinā tiek pieņemts, ka būs vismaz viena kārta.</w:t>
            </w:r>
          </w:p>
        </w:tc>
      </w:tr>
      <w:tr>
        <w:tc>
          <w:tcPr>
            <w:shd w:fill="ffffff"/>
            <w:vAlign w:val="center"/>
            <w:noWrap w:val="true"/>
            <w:gridSpan w:val="6"/>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Kopā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2 874,12</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r>
    </w:tbl>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2.4. Administratīvā sloga novērtējums fiziskām personām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2.5. Atbilstības izmaksu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Pamatojoties uz Uzraudzības komitejā saskaņotajiem un Eiropas Komisijā iesniegtajiem grozījumiem Programmā zivsaimniecības attīstībai 2021.–2027. gadam (turpmāk – PZA), šo noteikumu īstenošanai tiek pārdalīts papildu finansējums 1 milj. </w:t>
      </w:r>
      <w:r w:rsidR="00000000" w:rsidRPr="00000000" w:rsidDel="00000000">
        <w:rPr>
          <w:i w:val="1"/>
          <w:rtl w:val="0"/>
        </w:rPr>
        <w:t xml:space="preserve">euro </w:t>
      </w:r>
      <w:r w:rsidR="00000000" w:rsidRPr="00000000" w:rsidDel="00000000">
        <w:rPr>
          <w:rtl w:val="0"/>
        </w:rPr>
        <w:t xml:space="preserve">apmērā no PZA 2.1. konkrētā mērķa "Ilgtspējīgu akvakultūras darbību veicināšana, īpaši stiprinot akvakultūras ražošanas konkurētspēju, vienlaikus nodrošinot, ka darbības ilgtermiņā ir videi draudzīgas" uz 2.2. konkrēto mērķi "Zvejniecības un akvakultūras produktu mārketinga, kvalitātes un pievienotās vērtības, kā arī šo produktu pārstrādes veicināšana". Tas tiks izmaksāts no esošā un vidēja termiņa budžeta līdzekļiem budžeta apakšprogrammā 66.10.00. "Maksājumu iestādes izdevumi Eiropas Jūrlietu, zvejniecības un akvakultūras fonda (EJZAF) projektu un pasākumu īstenošanai (2021–2027)", nepārsniedzot kopējo periodam plānoto Programmas zivsaimniecības attīstībai 2021.–2027. gadam apmēru.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PZA paredzētais finansējums tiek plānots, to atvēlot atsevišķi konkrētiem mērķiem, un šim pasākumam pieejamais finansējums PZA nav izdalīts atsevišķi.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Šim pasākumam pieejamo finansējumu Zemkopības ministrija plāno saskaņojot ar Zivsaimniecības konsultatīvo padomi. Iepriekš šim pasākumam pieejamais publiskais finansējums bija paredzēts 5 915 672 </w:t>
      </w:r>
      <w:r w:rsidR="00000000" w:rsidRPr="00000000" w:rsidDel="00000000">
        <w:rPr>
          <w:i w:val="1"/>
          <w:rtl w:val="0"/>
        </w:rPr>
        <w:t xml:space="preserve">euro</w:t>
      </w:r>
      <w:r w:rsidR="00000000" w:rsidRPr="00000000" w:rsidDel="00000000">
        <w:rPr>
          <w:rtl w:val="0"/>
        </w:rPr>
        <w:t xml:space="preserve"> apmērā, no kura ir izmaksāti 5 915 671 </w:t>
      </w:r>
      <w:r w:rsidR="00000000" w:rsidRPr="00000000" w:rsidDel="00000000">
        <w:rPr>
          <w:i w:val="1"/>
          <w:rtl w:val="0"/>
        </w:rPr>
        <w:t xml:space="preserve">euro</w:t>
      </w:r>
      <w:r w:rsidR="00000000" w:rsidRPr="00000000" w:rsidDel="00000000">
        <w:rPr>
          <w:rtl w:val="0"/>
        </w:rPr>
        <w:t xml:space="preserve">. Pēc finansējuma pārdales starp konkrētajiem mērķiem šim pasākumam pieejamais finansējums būs 6 915 672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5.1. Saistības pret Eiropas Savienību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attiecināms?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ES tiesību akta CELEX numurs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32021R1060</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ES tiesību akta datums, izdevējinstitūcija, numurs, veids un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Eiropas Parlamenta un Padomes 2021. gada 24. jūnija Regula (ES) 2021/1060, ar ko paredz kopīgus noteikumus par Eiropas Reģionālās attīstības fondu, Eiropas Sociālo fondu Plus, Kohēzijas fondu, Taisnīgas pārkārtošanās fondu un Eiropas Jūrlietu, zvejniecības un akvakultūras fondu un finanšu noteikumus attiecībā uz tiem un uz Patvēruma, migrācijas un integrācijas fondu, Iekšējās drošības fondu un Finansiāla atbalsta instrumentu robežu pārvaldībai un vīzu politikai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ES tiesību akta CELEX numurs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32021R1139</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ES tiesību akta datums, izdevējinstitūcija, numurs, veids un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Eiropas Parlamenta un Padomes 2021. gada 7. jūlija Regula (ES) 2021/1139, ar ko izveido Eiropas Jūrlietu, zvejniecības un akvakultūras fondu un groza Regulu (ES) 2017/1004</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ES tiesību akta CELEX numurs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32021R0079</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ES tiesību akta datums, izdevējinstitūcija, numurs, veids un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Komisijas 2022. gada 19. janvāra Īstenošanas regula (ES) 2022/79, ar ko nosaka Eiropas Parlamenta un Padomes Regulas (ES) 2021/1139 piemērošanas noteikumus attiecībā uz darbības līmeņa īstenošanas datu reģistrēšanu, nosūtīšanu un izklāstu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5.2. Citas starptautiskās saistības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attiecināms?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5.4. 1. tabula. Tiesību akta projekta atbilstība ES tiesību aktiem</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2410"/>
        <w:gridCol w:w="2410"/>
        <w:gridCol w:w="2410"/>
        <w:gridCol w:w="2410"/>
        <w:tblGridChange w:id="0">
          <w:tblGrid>
            <w:gridCol w:w="2410"/>
            <w:gridCol w:w="2410"/>
            <w:gridCol w:w="2410"/>
            <w:gridCol w:w="241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Attiecīgā ES tiesību akta datums, izdevējinstitūcija, numurs, veids un nosaukums</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Eiropas Parlamenta un Padomes 2021. gada 24. jūnija Regula (ES) 2021/1060, ar ko paredz kopīgus noteikumus par Eiropas Reģionālās attīstības fondu, Eiropas Sociālo fondu Plus, Kohēzijas fondu, Taisnīgas pārkārtošanās fondu un Eiropas Jūrlietu, zvejniecības un akvakultūras fondu un finanšu noteikumus attiecībā uz tiem un uz Patvēruma, migrācijas un integrācijas fondu, Iekšējās drošības fondu un Finansiāla atbalsta instrumentu robežu pārvaldībai un vīzu politikai</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ES TA panta numurs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Projekta vienība, kas pārņem vai ievieš A minēto</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Tiek pārņemts pilnībā vai daļēji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Vai B minētais paredz stingrākas prasības un pamatojums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B</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C</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D</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Vispārīga atsauce uz regulu 2021/1060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projekta 1.2.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Regulas 2021/1060 53. panta 1. punkta "b" apakšpunkts un 3. punkta "a"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projekta 4.2.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Kā ir izmantota ES tiesību aktā paredzētā rīcības brīvība dalībvalstij pārņemt vai ieviest noteiktas ES tiesību akta normas? Kādēļ?</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Saistības sniegt paziņojumu ES institūcijām un ES dalībvalstīm atbilstoši normatīvajiem aktiem, kas regulē informācijas sniegšanu par tehnisko noteikumu, valsts atbalsta piešķiršanas un finanšu noteikumu (attiecībā uz monetāro politiku) projektiem</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Cita informācija</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Attiecīgā ES tiesību akta datums, izdevējinstitūcija, numurs, veids un nosaukums</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Eiropas Parlamenta un Padomes 2021. gada 7. jūlija Regula (ES) 2021/1139, ar ko izveido Eiropas Jūrlietu, zvejniecības un akvakultūras fondu un groza Regulu (ES) 2017/1004</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ES TA panta numurs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Projekta vienība, kas pārņem vai ievieš A minēto</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Tiek pārņemts pilnībā vai daļēji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Vai B minētais paredz stingrākas prasības un pamatojums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B</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C</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D</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Vispārīga atsauce uz regulu 2021/1139</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projekta 1.1.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Regulas 2021/1139 26. panta 2.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projekta 4.1.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Regulas 2021/1139 2. panta 2. punkta 14.a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projekta 5.</w:t>
            </w:r>
            <w:r w:rsidR="00000000" w:rsidRPr="00000000" w:rsidDel="00000000">
              <w:rPr>
                <w:sz w:val="24"/>
                <w:vertAlign w:val="superscript"/>
                <w:rtl w:val="0"/>
              </w:rPr>
              <w:t xml:space="preserve">2</w:t>
            </w:r>
            <w:r w:rsidR="00000000" w:rsidRPr="00000000" w:rsidDel="00000000">
              <w:rPr>
                <w:sz w:val="24"/>
                <w:rtl w:val="0"/>
              </w:rPr>
              <w:t xml:space="preserve">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Regulas 2021/1139 11. pants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projekta 7.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Regulas 2021/1139 1. pielikums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projekta 8.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Kā ir izmantota ES tiesību aktā paredzētā rīcības brīvība dalībvalstij pārņemt vai ieviest noteiktas ES tiesību akta normas? Kādēļ?</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Saistības sniegt paziņojumu ES institūcijām un ES dalībvalstīm atbilstoši normatīvajiem aktiem, kas regulē informācijas sniegšanu par tehnisko noteikumu, valsts atbalsta piešķiršanas un finanšu noteikumu (attiecībā uz monetāro politiku) projektiem</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Cita informācija</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Attiecīgā ES tiesību akta datums, izdevējinstitūcija, numurs, veids un nosaukums</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Komisijas 2022. gada 19. janvāra Īstenošanas regula (ES) 2022/79, ar ko nosaka Eiropas Parlamenta un Padomes Regulas (ES) 2021/1139 piemērošanas noteikumus attiecībā uz darbības līmeņa īstenošanas datu reģistrēšanu, nosūtīšanu un izklāstu</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ES TA panta numurs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Projekta vienība, kas pārņem vai ievieš A minēto</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Tiek pārņemts pilnībā vai daļēji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Vai B minētais paredz stingrākas prasības un pamatojums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B</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C</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D</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Vispārīga atsauce uz regulu 2022/79</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projekta 1.3.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Vispārīga atsauce uz regulu 2022/79</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projekta 16.1.2.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Kā ir izmantota ES tiesību aktā paredzētā rīcības brīvība dalībvalstij pārņemt vai ieviest noteiktas ES tiesību akta normas? Kādēļ?</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Saistības sniegt paziņojumu ES institūcijām un ES dalībvalstīm atbilstoši normatīvajiem aktiem, kas regulē informācijas sniegšanu par tehnisko noteikumu, valsts atbalsta piešķiršanas un finanšu noteikumu (attiecībā uz monetāro politiku) projektiem</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Cita informācija</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6.1. Projekta izstrādē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Valsts un pašvaldību 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Lauku atbalsta dienests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Nevalstiskās organizācijas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6.2. Sabiedrības līdzdalības organizēšanas veidi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Veids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Zivsaimniecības konsultatīvā padome</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Saite uz sabiedrības līdzdalības rezultātiem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6.3. Sabiedrības līdzdalības rezultāti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Zemkopības ministrijas pārstāvji sanāksmē ar zvejniecības nozares pārstāvjiem sniedza informāciju par to, ka ir pieņemts Komisijas 2026. gada 16. aprīļa Īstenošanas lēmums (ES) 2026/889 par situāciju, kura Tuvajos Austrumos sākās 2026. gada 28. februārī un kura ir atzīta par ārkārtas notikumu, kas rada būtiskus tirgus traucējumus. Tādējādi ir plānots gatavot grozījumus Ministru kabineta 2022. gada 14. jūlija noteikumos Nr. 445 "Noteikumi par valsts un Eiropas Savienības atbalsta piešķiršanu pasākumā "Kompensācijas zivsaimniecībā ārkārtas gadījumos"", paredzot atbalstu degvielas sadārdzinājuma kompensācijai zvejas kuģu īpašniekiem. Zvejniecības nozares pārstāvji uzsvēra, ka šāds atbalsts ir nepieciešams, un pateicās Zemkopības ministrijai par sniegto informāciju.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Savukārt Zivsaimniecības konsultatīvās padomes 2026. gada 4. jūnija sēdē padomes pārstāvji atbalstīja Zemkopības ministrijas priekšlikumu grozījumiem Programmā zivsaimniecības attīstībai 2021.–2027. gadam, lai piedalītu papildu finansējumu 1 milj. </w:t>
      </w:r>
      <w:r w:rsidR="00000000" w:rsidRPr="00000000" w:rsidDel="00000000">
        <w:rPr>
          <w:i w:val="1"/>
          <w:rtl w:val="0"/>
        </w:rPr>
        <w:t xml:space="preserve">euro </w:t>
      </w:r>
      <w:r w:rsidR="00000000" w:rsidRPr="00000000" w:rsidDel="00000000">
        <w:rPr>
          <w:rtl w:val="0"/>
        </w:rPr>
        <w:t xml:space="preserve">apmērā pasākuma "Kompensācijas zivsaimniecībā ārkārtas gadījumos" īstenošanai.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Zivsaimniecības konsultatīvā padome ir konsultatīva un koordinējoša institūcija, kuras darbības mērķis ir iesaistīt valsts institūcijas un zivsaimniecības nozares nevalstiskās un profesionālās organizācijas zivsaimniecības politikas veidošanā un īstenošanā.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Zivsaimniecības konsultatīvās padomes pārstāvēto organizāciju saraksts pieejams šeit: https://likumi.lv/ta/id/100411-zivsaimniecibas-konsultativas-padomes-nolikums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7.1. Projekta izpildē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Lauku atbalsta dienests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7.2.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7.3.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7.4. Projekta izpildes ietekme uz pārvaldes funkcijām un institucionālo struktūru</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4371"/>
        <w:gridCol w:w="900"/>
        <w:gridCol w:w="4371"/>
        <w:tblGridChange w:id="0">
          <w:tblGrid>
            <w:gridCol w:w="4371"/>
            <w:gridCol w:w="900"/>
            <w:gridCol w:w="4371"/>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Jā/Nē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Skaidrojums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 Tiks veidota jauna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2. Tiks likvidēta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3. Tiks veikta esošās institūcijas reorganizācija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4. Institūcijas funkcijas un uzdevumi tiks mainīti (paplašināti vai sašaurināti)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5. Tiks veikta iekšējo institūcijas procesu efektivizācija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6. Tiks veikta iekšējo institūcijas procesu digitalizācija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7. Tiks veikta iekšējo institūcijas procesu optimizācija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8. Cita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 kā saskaņā ar šo noteikumu projektu turpināsies 2022. gadā uzsāktā Programmas zivsaimniecības attīstībai 2021.–2027. gadam atbalsta pasākuma "Kompensācijas zivsaimniecībā ārkārtas gadījumos" īstenošana, Lauku atbalsta dienestam netiek radītas jaunas pārvaldes funkcijas, bet tiek turpināts jau esošs atbalsta pasākums, uzsākot jaunas projektu iesniegumu pieņemšanas kārtas.</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26-TA-1612</w:t>
    </w:r>
    <w:r>
      <w:br/>
    </w:r>
    <w:r w:rsidR="00000000" w:rsidRPr="00000000" w:rsidDel="00000000">
      <w:rPr>
        <w:rtl w:val="0"/>
      </w:rPr>
      <w:t xml:space="preserve">Izdrukāts 29.07.2026. 21.50 - 4.0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26-TA-1612</w:t>
    </w:r>
    <w:r>
      <w:br/>
    </w:r>
    <w:r w:rsidR="00000000" w:rsidRPr="00000000" w:rsidDel="00000000">
      <w:rPr>
        <w:rtl w:val="0"/>
      </w:rPr>
      <w:t xml:space="preserve">Izdrukāts 29.07.2026. 21.50 - 4.0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anotācija_(ex_ante)_26-TA-1612.docx</dc:title>
</cp:coreProperties>
</file>

<file path=docProps/custom.xml><?xml version="1.0" encoding="utf-8"?>
<Properties xmlns="http://schemas.openxmlformats.org/officeDocument/2006/custom-properties" xmlns:vt="http://schemas.openxmlformats.org/officeDocument/2006/docPropsVTypes"/>
</file>